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952500"/>
                    </a:xfrm>
                    <a:prstGeom prst="rect">
                      <a:avLst/>
                    </a:prstGeom>
                  </pic:spPr>
                </pic:pic>
              </a:graphicData>
            </a:graphic>
          </wp:inline>
        </w:drawing>
      </w:r>
    </w:p>
    <w:p>
      <w:pPr>
        <w:spacing w:after="100" w:before="0"/>
        <w:jc w:val="center"/>
      </w:pPr>
      <w:r>
        <w:rPr>
          <w:rFonts w:ascii="Arial" w:cs="Arial" w:eastAsia="Arial" w:hAnsi="Arial"/>
          <w:b/>
          <w:bCs/>
          <w:color w:val="2D6A4F"/>
          <w:sz w:val="36"/>
          <w:szCs w:val="36"/>
        </w:rPr>
        <w:t xml:space="preserve">WEBSITE TERMS OF SERVICE</w:t>
      </w:r>
    </w:p>
    <w:p>
      <w:pPr>
        <w:spacing w:after="160" w:before="0"/>
        <w:jc w:val="center"/>
      </w:pPr>
      <w:r>
        <w:rPr>
          <w:rFonts w:ascii="Arial" w:cs="Arial" w:eastAsia="Arial" w:hAnsi="Arial"/>
          <w:i/>
          <w:iCs/>
          <w:color w:val="666666"/>
          <w:sz w:val="20"/>
          <w:szCs w:val="20"/>
        </w:rPr>
        <w:t xml:space="preserve">Applicable to All Visitors — vyana.com</w:t>
      </w:r>
    </w:p>
    <w:p>
      <w:pPr>
        <w:spacing w:after="280" w:before="0"/>
        <w:jc w:val="center"/>
      </w:pPr>
      <w:r>
        <w:rPr>
          <w:rFonts w:ascii="Arial" w:cs="Arial" w:eastAsia="Arial" w:hAnsi="Arial"/>
          <w:color w:val="666666"/>
          <w:sz w:val="20"/>
          <w:szCs w:val="20"/>
        </w:rPr>
        <w:t xml:space="preserve">Effective Date: June 2026  |  Last Updated: June 2026</w:t>
      </w:r>
    </w:p>
    <w:p>
      <w:pPr>
        <w:pBdr>
          <w:bottom w:val="single" w:color="2D6A4F" w:sz="6" w:space="1"/>
        </w:pBdr>
        <w:spacing w:after="20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4F" w:sz="3"/>
              <w:left w:val="single" w:color="2D6A4F" w:sz="3"/>
              <w:bottom w:val="single" w:color="2D6A4F" w:sz="3"/>
              <w:right w:val="single" w:color="2D6A4F" w:sz="3"/>
            </w:tcBorders>
            <w:shd w:fill="EAF4EF" w:val="clear"/>
            <w:tcMar>
              <w:top w:type="dxa" w:w="120"/>
              <w:left w:type="dxa" w:w="180"/>
              <w:bottom w:type="dxa" w:w="120"/>
              <w:right w:type="dxa" w:w="180"/>
            </w:tcMar>
          </w:tcPr>
          <w:p>
            <w:r>
              <w:rPr>
                <w:rFonts w:ascii="Arial" w:cs="Arial" w:eastAsia="Arial" w:hAnsi="Arial"/>
                <w:i/>
                <w:iCs/>
                <w:color w:val="2D6A4F"/>
                <w:sz w:val="22"/>
                <w:szCs w:val="22"/>
              </w:rPr>
              <w:t xml:space="preserve">IMPORTANT: By accessing or browsing this website, you agree to be bound by these Terms of Service. If you do not agree, please leave this website immediately.</w:t>
            </w:r>
          </w:p>
        </w:tc>
      </w:tr>
    </w:tbl>
    <w:p>
      <w:pPr>
        <w:spacing w:after="160" w:before="0"/>
      </w:pPr>
    </w:p>
    <w:p>
      <w:pPr>
        <w:pBdr>
          <w:bottom w:val="single" w:color="2D6A4F" w:sz="3" w:space="1"/>
        </w:pBdr>
        <w:spacing w:after="100" w:before="300"/>
      </w:pPr>
      <w:r>
        <w:rPr>
          <w:rFonts w:ascii="Arial" w:cs="Arial" w:eastAsia="Arial" w:hAnsi="Arial"/>
          <w:b/>
          <w:bCs/>
          <w:color w:val="2D6A4F"/>
          <w:sz w:val="26"/>
          <w:szCs w:val="26"/>
        </w:rPr>
        <w:t xml:space="preserve">1. ACCEPTANCE OF TERMS</w:t>
      </w:r>
    </w:p>
    <w:p>
      <w:pPr>
        <w:spacing w:after="80" w:before="80"/>
      </w:pPr>
      <w:r>
        <w:rPr>
          <w:rFonts w:ascii="Arial" w:cs="Arial" w:eastAsia="Arial" w:hAnsi="Arial"/>
          <w:sz w:val="22"/>
          <w:szCs w:val="22"/>
        </w:rPr>
        <w:t xml:space="preserve">These Terms of Service ("Terms") govern your access to and use of the Vyana website located at vyana.com and any associated mobile applications (collectively, the "Platform"), operated by Vyana Ayurveda &amp; Wellness ("Vyana", "we", "us", or "our").</w:t>
      </w:r>
    </w:p>
    <w:p>
      <w:pPr>
        <w:spacing w:after="80" w:before="80"/>
      </w:pPr>
      <w:r>
        <w:rPr>
          <w:rFonts w:ascii="Arial" w:cs="Arial" w:eastAsia="Arial" w:hAnsi="Arial"/>
          <w:sz w:val="22"/>
          <w:szCs w:val="22"/>
        </w:rPr>
        <w:t xml:space="preserve">By visiting, browsing, or otherwise accessing the Platform in any way — whether or not you register for an account or make a purchase — you unconditionally accept and agree to be bound by these Terms and our Privacy Policy. This constitutes a legally binding agreement between you and Vyana.</w:t>
      </w:r>
    </w:p>
    <w:p>
      <w:pPr>
        <w:spacing w:after="80" w:before="80"/>
      </w:pPr>
      <w:r>
        <w:rPr>
          <w:rFonts w:ascii="Arial" w:cs="Arial" w:eastAsia="Arial" w:hAnsi="Arial"/>
          <w:sz w:val="22"/>
          <w:szCs w:val="22"/>
        </w:rPr>
        <w:t xml:space="preserve">If you are accessing the Platform on behalf of a company or other legal entity, you represent that you have the authority to bind that entity to these Terms.</w:t>
      </w:r>
    </w:p>
    <w:p>
      <w:pPr>
        <w:pBdr>
          <w:bottom w:val="single" w:color="2D6A4F" w:sz="3" w:space="1"/>
        </w:pBdr>
        <w:spacing w:after="100" w:before="300"/>
      </w:pPr>
      <w:r>
        <w:rPr>
          <w:rFonts w:ascii="Arial" w:cs="Arial" w:eastAsia="Arial" w:hAnsi="Arial"/>
          <w:b/>
          <w:bCs/>
          <w:color w:val="2D6A4F"/>
          <w:sz w:val="26"/>
          <w:szCs w:val="26"/>
        </w:rPr>
        <w:t xml:space="preserve">2. ELIGIBILITY</w:t>
      </w:r>
    </w:p>
    <w:p>
      <w:pPr>
        <w:pStyle w:val="ListParagraph"/>
        <w:numPr>
          <w:ilvl w:val="0"/>
          <w:numId w:val="2"/>
        </w:numPr>
        <w:spacing w:after="60" w:before="60"/>
      </w:pPr>
      <w:r>
        <w:rPr>
          <w:rFonts w:ascii="Arial" w:cs="Arial" w:eastAsia="Arial" w:hAnsi="Arial"/>
          <w:sz w:val="22"/>
          <w:szCs w:val="22"/>
        </w:rPr>
        <w:t xml:space="preserve">You must be at least 18 years of age to use this Platform</w:t>
      </w:r>
    </w:p>
    <w:p>
      <w:pPr>
        <w:pStyle w:val="ListParagraph"/>
        <w:numPr>
          <w:ilvl w:val="0"/>
          <w:numId w:val="2"/>
        </w:numPr>
        <w:spacing w:after="60" w:before="60"/>
      </w:pPr>
      <w:r>
        <w:rPr>
          <w:rFonts w:ascii="Arial" w:cs="Arial" w:eastAsia="Arial" w:hAnsi="Arial"/>
          <w:sz w:val="22"/>
          <w:szCs w:val="22"/>
        </w:rPr>
        <w:t xml:space="preserve">By using this Platform, you represent and warrant that you meet this age requirement</w:t>
      </w:r>
    </w:p>
    <w:p>
      <w:pPr>
        <w:pStyle w:val="ListParagraph"/>
        <w:numPr>
          <w:ilvl w:val="0"/>
          <w:numId w:val="2"/>
        </w:numPr>
        <w:spacing w:after="60" w:before="60"/>
      </w:pPr>
      <w:r>
        <w:rPr>
          <w:rFonts w:ascii="Arial" w:cs="Arial" w:eastAsia="Arial" w:hAnsi="Arial"/>
          <w:sz w:val="22"/>
          <w:szCs w:val="22"/>
        </w:rPr>
        <w:t xml:space="preserve">Vyana does not knowingly collect information from individuals under 18</w:t>
      </w:r>
    </w:p>
    <w:p>
      <w:pPr>
        <w:pStyle w:val="ListParagraph"/>
        <w:numPr>
          <w:ilvl w:val="0"/>
          <w:numId w:val="2"/>
        </w:numPr>
        <w:spacing w:after="60" w:before="60"/>
      </w:pPr>
      <w:r>
        <w:rPr>
          <w:rFonts w:ascii="Arial" w:cs="Arial" w:eastAsia="Arial" w:hAnsi="Arial"/>
          <w:sz w:val="22"/>
          <w:szCs w:val="22"/>
        </w:rPr>
        <w:t xml:space="preserve">If you are under 18, please do not use this Platform or submit any personal information</w:t>
      </w:r>
    </w:p>
    <w:p>
      <w:pPr>
        <w:pBdr>
          <w:bottom w:val="single" w:color="2D6A4F" w:sz="3" w:space="1"/>
        </w:pBdr>
        <w:spacing w:after="100" w:before="300"/>
      </w:pPr>
      <w:r>
        <w:rPr>
          <w:rFonts w:ascii="Arial" w:cs="Arial" w:eastAsia="Arial" w:hAnsi="Arial"/>
          <w:b/>
          <w:bCs/>
          <w:color w:val="2D6A4F"/>
          <w:sz w:val="26"/>
          <w:szCs w:val="26"/>
        </w:rPr>
        <w:t xml:space="preserve">3. PERMITTED USE</w:t>
      </w:r>
    </w:p>
    <w:p>
      <w:pPr>
        <w:spacing w:after="80" w:before="80"/>
      </w:pPr>
      <w:r>
        <w:rPr>
          <w:rFonts w:ascii="Arial" w:cs="Arial" w:eastAsia="Arial" w:hAnsi="Arial"/>
          <w:sz w:val="22"/>
          <w:szCs w:val="22"/>
        </w:rPr>
        <w:t xml:space="preserve">You may use this Platform only for lawful purposes and in accordance with these Terms. You agree NOT to:</w:t>
      </w:r>
    </w:p>
    <w:p>
      <w:pPr>
        <w:pStyle w:val="ListParagraph"/>
        <w:numPr>
          <w:ilvl w:val="0"/>
          <w:numId w:val="2"/>
        </w:numPr>
        <w:spacing w:after="60" w:before="60"/>
      </w:pPr>
      <w:r>
        <w:rPr>
          <w:rFonts w:ascii="Arial" w:cs="Arial" w:eastAsia="Arial" w:hAnsi="Arial"/>
          <w:sz w:val="22"/>
          <w:szCs w:val="22"/>
        </w:rPr>
        <w:t xml:space="preserve">Use the Platform in any way that violates applicable Indian or international laws or regulations</w:t>
      </w:r>
    </w:p>
    <w:p>
      <w:pPr>
        <w:pStyle w:val="ListParagraph"/>
        <w:numPr>
          <w:ilvl w:val="0"/>
          <w:numId w:val="2"/>
        </w:numPr>
        <w:spacing w:after="60" w:before="60"/>
      </w:pPr>
      <w:r>
        <w:rPr>
          <w:rFonts w:ascii="Arial" w:cs="Arial" w:eastAsia="Arial" w:hAnsi="Arial"/>
          <w:sz w:val="22"/>
          <w:szCs w:val="22"/>
        </w:rPr>
        <w:t xml:space="preserve">Attempt to gain unauthorized access to any part of the Platform or its related systems</w:t>
      </w:r>
    </w:p>
    <w:p>
      <w:pPr>
        <w:pStyle w:val="ListParagraph"/>
        <w:numPr>
          <w:ilvl w:val="0"/>
          <w:numId w:val="2"/>
        </w:numPr>
        <w:spacing w:after="60" w:before="60"/>
      </w:pPr>
      <w:r>
        <w:rPr>
          <w:rFonts w:ascii="Arial" w:cs="Arial" w:eastAsia="Arial" w:hAnsi="Arial"/>
          <w:sz w:val="22"/>
          <w:szCs w:val="22"/>
        </w:rPr>
        <w:t xml:space="preserve">Transmit any unsolicited or unauthorized advertising or promotional material (spam)</w:t>
      </w:r>
    </w:p>
    <w:p>
      <w:pPr>
        <w:pStyle w:val="ListParagraph"/>
        <w:numPr>
          <w:ilvl w:val="0"/>
          <w:numId w:val="2"/>
        </w:numPr>
        <w:spacing w:after="60" w:before="60"/>
      </w:pPr>
      <w:r>
        <w:rPr>
          <w:rFonts w:ascii="Arial" w:cs="Arial" w:eastAsia="Arial" w:hAnsi="Arial"/>
          <w:sz w:val="22"/>
          <w:szCs w:val="22"/>
        </w:rPr>
        <w:t xml:space="preserve">Engage in any conduct that restricts or inhibits anyone's use or enjoyment of the Platform</w:t>
      </w:r>
    </w:p>
    <w:p>
      <w:pPr>
        <w:pStyle w:val="ListParagraph"/>
        <w:numPr>
          <w:ilvl w:val="0"/>
          <w:numId w:val="2"/>
        </w:numPr>
        <w:spacing w:after="60" w:before="60"/>
      </w:pPr>
      <w:r>
        <w:rPr>
          <w:rFonts w:ascii="Arial" w:cs="Arial" w:eastAsia="Arial" w:hAnsi="Arial"/>
          <w:sz w:val="22"/>
          <w:szCs w:val="22"/>
        </w:rPr>
        <w:t xml:space="preserve">Use any robot, spider, scraper, or other automated means to access the Platform</w:t>
      </w:r>
    </w:p>
    <w:p>
      <w:pPr>
        <w:pStyle w:val="ListParagraph"/>
        <w:numPr>
          <w:ilvl w:val="0"/>
          <w:numId w:val="2"/>
        </w:numPr>
        <w:spacing w:after="60" w:before="60"/>
      </w:pPr>
      <w:r>
        <w:rPr>
          <w:rFonts w:ascii="Arial" w:cs="Arial" w:eastAsia="Arial" w:hAnsi="Arial"/>
          <w:sz w:val="22"/>
          <w:szCs w:val="22"/>
        </w:rPr>
        <w:t xml:space="preserve">Introduce any viruses, trojan horses, worms, or other harmful or malicious code</w:t>
      </w:r>
    </w:p>
    <w:p>
      <w:pPr>
        <w:pStyle w:val="ListParagraph"/>
        <w:numPr>
          <w:ilvl w:val="0"/>
          <w:numId w:val="2"/>
        </w:numPr>
        <w:spacing w:after="60" w:before="60"/>
      </w:pPr>
      <w:r>
        <w:rPr>
          <w:rFonts w:ascii="Arial" w:cs="Arial" w:eastAsia="Arial" w:hAnsi="Arial"/>
          <w:sz w:val="22"/>
          <w:szCs w:val="22"/>
        </w:rPr>
        <w:t xml:space="preserve">Attempt to decompile, reverse engineer, or disassemble any software on the Platform</w:t>
      </w:r>
    </w:p>
    <w:p>
      <w:pPr>
        <w:pStyle w:val="ListParagraph"/>
        <w:numPr>
          <w:ilvl w:val="0"/>
          <w:numId w:val="2"/>
        </w:numPr>
        <w:spacing w:after="60" w:before="60"/>
      </w:pPr>
      <w:r>
        <w:rPr>
          <w:rFonts w:ascii="Arial" w:cs="Arial" w:eastAsia="Arial" w:hAnsi="Arial"/>
          <w:sz w:val="22"/>
          <w:szCs w:val="22"/>
        </w:rPr>
        <w:t xml:space="preserve">Remove or alter any copyright, trademark, or other proprietary notices</w:t>
      </w:r>
    </w:p>
    <w:p>
      <w:pPr>
        <w:pStyle w:val="ListParagraph"/>
        <w:numPr>
          <w:ilvl w:val="0"/>
          <w:numId w:val="2"/>
        </w:numPr>
        <w:spacing w:after="60" w:before="60"/>
      </w:pPr>
      <w:r>
        <w:rPr>
          <w:rFonts w:ascii="Arial" w:cs="Arial" w:eastAsia="Arial" w:hAnsi="Arial"/>
          <w:sz w:val="22"/>
          <w:szCs w:val="22"/>
        </w:rPr>
        <w:t xml:space="preserve">Impersonate any person or entity or misrepresent your affiliation with any person or entity</w:t>
      </w:r>
    </w:p>
    <w:p>
      <w:pPr>
        <w:pBdr>
          <w:bottom w:val="single" w:color="2D6A4F" w:sz="3" w:space="1"/>
        </w:pBdr>
        <w:spacing w:after="100" w:before="300"/>
      </w:pPr>
      <w:r>
        <w:rPr>
          <w:rFonts w:ascii="Arial" w:cs="Arial" w:eastAsia="Arial" w:hAnsi="Arial"/>
          <w:b/>
          <w:bCs/>
          <w:color w:val="2D6A4F"/>
          <w:sz w:val="26"/>
          <w:szCs w:val="26"/>
        </w:rPr>
        <w:t xml:space="preserve">4. INTELLECTUAL PROPERTY</w:t>
      </w:r>
    </w:p>
    <w:p>
      <w:pPr>
        <w:spacing w:after="80" w:before="80"/>
      </w:pPr>
      <w:r>
        <w:rPr>
          <w:rFonts w:ascii="Arial" w:cs="Arial" w:eastAsia="Arial" w:hAnsi="Arial"/>
          <w:sz w:val="22"/>
          <w:szCs w:val="22"/>
        </w:rPr>
        <w:t xml:space="preserve">The Platform and its entire contents, features, and functionality — including but not limited to text, graphics, logos, images, audio clips, video, data compilations, and software — are owned by Vyana or its licensors and are protected by Indian and international copyright, trademark, patent, and other intellectual property laws.</w:t>
      </w:r>
    </w:p>
    <w:p>
      <w:pPr>
        <w:spacing w:after="80" w:before="80"/>
      </w:pPr>
      <w:r>
        <w:rPr>
          <w:rFonts w:ascii="Arial" w:cs="Arial" w:eastAsia="Arial" w:hAnsi="Arial"/>
          <w:sz w:val="22"/>
          <w:szCs w:val="22"/>
        </w:rPr>
        <w:t xml:space="preserve">You are granted a limited, non-exclusive, non-transferable, revocable license to access and use the Platform for your personal, non-commercial use only. This license does not include:</w:t>
      </w:r>
    </w:p>
    <w:p>
      <w:pPr>
        <w:pStyle w:val="ListParagraph"/>
        <w:numPr>
          <w:ilvl w:val="0"/>
          <w:numId w:val="2"/>
        </w:numPr>
        <w:spacing w:after="60" w:before="60"/>
      </w:pPr>
      <w:r>
        <w:rPr>
          <w:rFonts w:ascii="Arial" w:cs="Arial" w:eastAsia="Arial" w:hAnsi="Arial"/>
          <w:sz w:val="22"/>
          <w:szCs w:val="22"/>
        </w:rPr>
        <w:t xml:space="preserve">Any resale or commercial use of the Platform or its contents</w:t>
      </w:r>
    </w:p>
    <w:p>
      <w:pPr>
        <w:pStyle w:val="ListParagraph"/>
        <w:numPr>
          <w:ilvl w:val="0"/>
          <w:numId w:val="2"/>
        </w:numPr>
        <w:spacing w:after="60" w:before="60"/>
      </w:pPr>
      <w:r>
        <w:rPr>
          <w:rFonts w:ascii="Arial" w:cs="Arial" w:eastAsia="Arial" w:hAnsi="Arial"/>
          <w:sz w:val="22"/>
          <w:szCs w:val="22"/>
        </w:rPr>
        <w:t xml:space="preserve">Any collection and use of product listings or descriptions</w:t>
      </w:r>
    </w:p>
    <w:p>
      <w:pPr>
        <w:pStyle w:val="ListParagraph"/>
        <w:numPr>
          <w:ilvl w:val="0"/>
          <w:numId w:val="2"/>
        </w:numPr>
        <w:spacing w:after="60" w:before="60"/>
      </w:pPr>
      <w:r>
        <w:rPr>
          <w:rFonts w:ascii="Arial" w:cs="Arial" w:eastAsia="Arial" w:hAnsi="Arial"/>
          <w:sz w:val="22"/>
          <w:szCs w:val="22"/>
        </w:rPr>
        <w:t xml:space="preserve">Any derivative use of the Platform or its contents</w:t>
      </w:r>
    </w:p>
    <w:p>
      <w:pPr>
        <w:pStyle w:val="ListParagraph"/>
        <w:numPr>
          <w:ilvl w:val="0"/>
          <w:numId w:val="2"/>
        </w:numPr>
        <w:spacing w:after="60" w:before="60"/>
      </w:pPr>
      <w:r>
        <w:rPr>
          <w:rFonts w:ascii="Arial" w:cs="Arial" w:eastAsia="Arial" w:hAnsi="Arial"/>
          <w:sz w:val="22"/>
          <w:szCs w:val="22"/>
        </w:rPr>
        <w:t xml:space="preserve">Any downloading or copying of account information for the benefit of a third party</w:t>
      </w:r>
    </w:p>
    <w:p>
      <w:pPr>
        <w:pBdr>
          <w:bottom w:val="single" w:color="2D6A4F" w:sz="3" w:space="1"/>
        </w:pBdr>
        <w:spacing w:after="100" w:before="300"/>
      </w:pPr>
      <w:r>
        <w:rPr>
          <w:rFonts w:ascii="Arial" w:cs="Arial" w:eastAsia="Arial" w:hAnsi="Arial"/>
          <w:b/>
          <w:bCs/>
          <w:color w:val="2D6A4F"/>
          <w:sz w:val="26"/>
          <w:szCs w:val="26"/>
        </w:rPr>
        <w:t xml:space="preserve">5. DISCLAIMER OF WARRANTIES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THE PLATFORM IS PROVIDED ON AN "AS IS" AND "AS AVAILABLE" BASIS WITHOUT ANY WARRANTIES OF ANY KIND, EITHER EXPRESS OR IMPLIED. VYANA EXPRESSLY DISCLAIMS ALL WARRANTIES, INCLUDING BUT NOT LIMITED TO IMPLIED WARRANTIES OF MERCHANTABILITY, FITNESS FOR A PARTICULAR PURPOSE, AND NON-INFRINGEMENT.</w:t>
            </w:r>
          </w:p>
        </w:tc>
      </w:tr>
    </w:tbl>
    <w:p>
      <w:pPr>
        <w:spacing w:after="160" w:before="0"/>
      </w:pPr>
    </w:p>
    <w:p>
      <w:pPr>
        <w:spacing w:after="80" w:before="80"/>
      </w:pPr>
      <w:r>
        <w:rPr>
          <w:rFonts w:ascii="Arial" w:cs="Arial" w:eastAsia="Arial" w:hAnsi="Arial"/>
          <w:sz w:val="22"/>
          <w:szCs w:val="22"/>
        </w:rPr>
        <w:t xml:space="preserve">Vyana does not warrant that:</w:t>
      </w:r>
    </w:p>
    <w:p>
      <w:pPr>
        <w:pStyle w:val="ListParagraph"/>
        <w:numPr>
          <w:ilvl w:val="0"/>
          <w:numId w:val="2"/>
        </w:numPr>
        <w:spacing w:after="60" w:before="60"/>
      </w:pPr>
      <w:r>
        <w:rPr>
          <w:rFonts w:ascii="Arial" w:cs="Arial" w:eastAsia="Arial" w:hAnsi="Arial"/>
          <w:sz w:val="22"/>
          <w:szCs w:val="22"/>
        </w:rPr>
        <w:t xml:space="preserve">The Platform will be uninterrupted, timely, secure, or error-free</w:t>
      </w:r>
    </w:p>
    <w:p>
      <w:pPr>
        <w:pStyle w:val="ListParagraph"/>
        <w:numPr>
          <w:ilvl w:val="0"/>
          <w:numId w:val="2"/>
        </w:numPr>
        <w:spacing w:after="60" w:before="60"/>
      </w:pPr>
      <w:r>
        <w:rPr>
          <w:rFonts w:ascii="Arial" w:cs="Arial" w:eastAsia="Arial" w:hAnsi="Arial"/>
          <w:sz w:val="22"/>
          <w:szCs w:val="22"/>
        </w:rPr>
        <w:t xml:space="preserve">Any information obtained through the Platform will be accurate or reliable</w:t>
      </w:r>
    </w:p>
    <w:p>
      <w:pPr>
        <w:pStyle w:val="ListParagraph"/>
        <w:numPr>
          <w:ilvl w:val="0"/>
          <w:numId w:val="2"/>
        </w:numPr>
        <w:spacing w:after="60" w:before="60"/>
      </w:pPr>
      <w:r>
        <w:rPr>
          <w:rFonts w:ascii="Arial" w:cs="Arial" w:eastAsia="Arial" w:hAnsi="Arial"/>
          <w:sz w:val="22"/>
          <w:szCs w:val="22"/>
        </w:rPr>
        <w:t xml:space="preserve">Defects in the Platform will be corrected</w:t>
      </w:r>
    </w:p>
    <w:p>
      <w:pPr>
        <w:pStyle w:val="ListParagraph"/>
        <w:numPr>
          <w:ilvl w:val="0"/>
          <w:numId w:val="2"/>
        </w:numPr>
        <w:spacing w:after="60" w:before="60"/>
      </w:pPr>
      <w:r>
        <w:rPr>
          <w:rFonts w:ascii="Arial" w:cs="Arial" w:eastAsia="Arial" w:hAnsi="Arial"/>
          <w:sz w:val="22"/>
          <w:szCs w:val="22"/>
        </w:rPr>
        <w:t xml:space="preserve">The Platform or its servers are free of viruses or other harmful components</w:t>
      </w:r>
    </w:p>
    <w:p>
      <w:pPr>
        <w:pBdr>
          <w:bottom w:val="single" w:color="2D6A4F" w:sz="3" w:space="1"/>
        </w:pBdr>
        <w:spacing w:after="100" w:before="300"/>
      </w:pPr>
      <w:r>
        <w:rPr>
          <w:rFonts w:ascii="Arial" w:cs="Arial" w:eastAsia="Arial" w:hAnsi="Arial"/>
          <w:b/>
          <w:bCs/>
          <w:color w:val="2D6A4F"/>
          <w:sz w:val="26"/>
          <w:szCs w:val="26"/>
        </w:rPr>
        <w:t xml:space="preserve">6. LIMITATION OF LIABILITY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TO THE FULLEST EXTENT PERMITTED BY APPLICABLE LAW, VYANA SHALL NOT BE LIABLE FOR ANY INDIRECT, INCIDENTAL, SPECIAL, CONSEQUENTIAL, OR PUNITIVE DAMAGES — INCLUDING LOSS OF PROFITS, DATA, GOODWILL, OR OTHER INTANGIBLE LOSSES — ARISING OUT OF OR RELATING TO YOUR ACCESS TO OR USE OF (OR INABILITY TO ACCESS OR USE) THE PLATFORM.</w:t>
            </w:r>
          </w:p>
        </w:tc>
      </w:tr>
    </w:tbl>
    <w:p>
      <w:pPr>
        <w:spacing w:after="160" w:before="0"/>
      </w:pPr>
    </w:p>
    <w:p>
      <w:pPr>
        <w:spacing w:after="80" w:before="80"/>
      </w:pPr>
      <w:r>
        <w:rPr>
          <w:rFonts w:ascii="Arial" w:cs="Arial" w:eastAsia="Arial" w:hAnsi="Arial"/>
          <w:sz w:val="22"/>
          <w:szCs w:val="22"/>
        </w:rPr>
        <w:t xml:space="preserve">In no event shall Vyana's total aggregate liability to you for all claims arising out of or relating to these Terms or the Platform exceed INR 1,000 (One Thousand Rupees) or the amount you paid to Vyana in the 3 months preceding the claim, whichever is greater.</w:t>
      </w:r>
    </w:p>
    <w:p>
      <w:pPr>
        <w:spacing w:after="80" w:before="80"/>
      </w:pPr>
      <w:r>
        <w:rPr>
          <w:rFonts w:ascii="Arial" w:cs="Arial" w:eastAsia="Arial" w:hAnsi="Arial"/>
          <w:sz w:val="22"/>
          <w:szCs w:val="22"/>
        </w:rPr>
        <w:t xml:space="preserve">Some jurisdictions do not allow the exclusion of certain warranties or limitation of liability. In such jurisdictions, our liability shall be limited to the maximum extent permitted by law.</w:t>
      </w:r>
    </w:p>
    <w:p>
      <w:pPr>
        <w:pBdr>
          <w:bottom w:val="single" w:color="2D6A4F" w:sz="3" w:space="1"/>
        </w:pBdr>
        <w:spacing w:after="100" w:before="300"/>
      </w:pPr>
      <w:r>
        <w:rPr>
          <w:rFonts w:ascii="Arial" w:cs="Arial" w:eastAsia="Arial" w:hAnsi="Arial"/>
          <w:b/>
          <w:bCs/>
          <w:color w:val="2D6A4F"/>
          <w:sz w:val="26"/>
          <w:szCs w:val="26"/>
        </w:rPr>
        <w:t xml:space="preserve">7. THIRD-PARTY LINKS &amp; CONTENT</w:t>
      </w:r>
    </w:p>
    <w:p>
      <w:pPr>
        <w:spacing w:after="80" w:before="80"/>
      </w:pPr>
      <w:r>
        <w:rPr>
          <w:rFonts w:ascii="Arial" w:cs="Arial" w:eastAsia="Arial" w:hAnsi="Arial"/>
          <w:sz w:val="22"/>
          <w:szCs w:val="22"/>
        </w:rPr>
        <w:t xml:space="preserve">The Platform may contain links to third-party websites, services, or resources. These links are provided for convenience only. Vyana has no control over the content of those sites and accepts no responsibility for them or for any loss or damage that may arise from your use of them. Accessing any third-party website is at your own risk.</w:t>
      </w:r>
    </w:p>
    <w:p>
      <w:pPr>
        <w:pBdr>
          <w:bottom w:val="single" w:color="2D6A4F" w:sz="3" w:space="1"/>
        </w:pBdr>
        <w:spacing w:after="100" w:before="300"/>
      </w:pPr>
      <w:r>
        <w:rPr>
          <w:rFonts w:ascii="Arial" w:cs="Arial" w:eastAsia="Arial" w:hAnsi="Arial"/>
          <w:b/>
          <w:bCs/>
          <w:color w:val="2D6A4F"/>
          <w:sz w:val="26"/>
          <w:szCs w:val="26"/>
        </w:rPr>
        <w:t xml:space="preserve">8. INDEMNIFICATION</w:t>
      </w:r>
    </w:p>
    <w:p>
      <w:pPr>
        <w:spacing w:after="80" w:before="80"/>
      </w:pPr>
      <w:r>
        <w:rPr>
          <w:rFonts w:ascii="Arial" w:cs="Arial" w:eastAsia="Arial" w:hAnsi="Arial"/>
          <w:sz w:val="22"/>
          <w:szCs w:val="22"/>
        </w:rPr>
        <w:t xml:space="preserve">You agree to defend, indemnify, and hold harmless Vyana and its officers, directors, employees, contractors, agents, licensors, and suppliers from and against any claims, liabilities, damages, judgments, awards, losses, costs, expenses, or fees (including reasonable legal fees) arising out of or relating to:</w:t>
      </w:r>
    </w:p>
    <w:p>
      <w:pPr>
        <w:pStyle w:val="ListParagraph"/>
        <w:numPr>
          <w:ilvl w:val="0"/>
          <w:numId w:val="2"/>
        </w:numPr>
        <w:spacing w:after="60" w:before="60"/>
      </w:pPr>
      <w:r>
        <w:rPr>
          <w:rFonts w:ascii="Arial" w:cs="Arial" w:eastAsia="Arial" w:hAnsi="Arial"/>
          <w:sz w:val="22"/>
          <w:szCs w:val="22"/>
        </w:rPr>
        <w:t xml:space="preserve">Your violation of these Terms</w:t>
      </w:r>
    </w:p>
    <w:p>
      <w:pPr>
        <w:pStyle w:val="ListParagraph"/>
        <w:numPr>
          <w:ilvl w:val="0"/>
          <w:numId w:val="2"/>
        </w:numPr>
        <w:spacing w:after="60" w:before="60"/>
      </w:pPr>
      <w:r>
        <w:rPr>
          <w:rFonts w:ascii="Arial" w:cs="Arial" w:eastAsia="Arial" w:hAnsi="Arial"/>
          <w:sz w:val="22"/>
          <w:szCs w:val="22"/>
        </w:rPr>
        <w:t xml:space="preserve">Your use of the Platform</w:t>
      </w:r>
    </w:p>
    <w:p>
      <w:pPr>
        <w:pStyle w:val="ListParagraph"/>
        <w:numPr>
          <w:ilvl w:val="0"/>
          <w:numId w:val="2"/>
        </w:numPr>
        <w:spacing w:after="60" w:before="60"/>
      </w:pPr>
      <w:r>
        <w:rPr>
          <w:rFonts w:ascii="Arial" w:cs="Arial" w:eastAsia="Arial" w:hAnsi="Arial"/>
          <w:sz w:val="22"/>
          <w:szCs w:val="22"/>
        </w:rPr>
        <w:t xml:space="preserve">Your violation of any rights of a third party</w:t>
      </w:r>
    </w:p>
    <w:p>
      <w:pPr>
        <w:pStyle w:val="ListParagraph"/>
        <w:numPr>
          <w:ilvl w:val="0"/>
          <w:numId w:val="2"/>
        </w:numPr>
        <w:spacing w:after="60" w:before="60"/>
      </w:pPr>
      <w:r>
        <w:rPr>
          <w:rFonts w:ascii="Arial" w:cs="Arial" w:eastAsia="Arial" w:hAnsi="Arial"/>
          <w:sz w:val="22"/>
          <w:szCs w:val="22"/>
        </w:rPr>
        <w:t xml:space="preserve">Any content you submit or transmit through the Platform</w:t>
      </w:r>
    </w:p>
    <w:p>
      <w:pPr>
        <w:pStyle w:val="ListParagraph"/>
        <w:numPr>
          <w:ilvl w:val="0"/>
          <w:numId w:val="2"/>
        </w:numPr>
        <w:spacing w:after="60" w:before="60"/>
      </w:pPr>
      <w:r>
        <w:rPr>
          <w:rFonts w:ascii="Arial" w:cs="Arial" w:eastAsia="Arial" w:hAnsi="Arial"/>
          <w:sz w:val="22"/>
          <w:szCs w:val="22"/>
        </w:rPr>
        <w:t xml:space="preserve">Your violation of any applicable laws or regulations</w:t>
      </w:r>
    </w:p>
    <w:p>
      <w:pPr>
        <w:pBdr>
          <w:bottom w:val="single" w:color="2D6A4F" w:sz="3" w:space="1"/>
        </w:pBdr>
        <w:spacing w:after="100" w:before="300"/>
      </w:pPr>
      <w:r>
        <w:rPr>
          <w:rFonts w:ascii="Arial" w:cs="Arial" w:eastAsia="Arial" w:hAnsi="Arial"/>
          <w:b/>
          <w:bCs/>
          <w:color w:val="2D6A4F"/>
          <w:sz w:val="26"/>
          <w:szCs w:val="26"/>
        </w:rPr>
        <w:t xml:space="preserve">9. MODIFICATIONS TO THE PLATFORM &amp; TERMS</w:t>
      </w:r>
    </w:p>
    <w:p>
      <w:pPr>
        <w:spacing w:after="80" w:before="80"/>
      </w:pPr>
      <w:r>
        <w:rPr>
          <w:rFonts w:ascii="Arial" w:cs="Arial" w:eastAsia="Arial" w:hAnsi="Arial"/>
          <w:sz w:val="22"/>
          <w:szCs w:val="22"/>
        </w:rPr>
        <w:t xml:space="preserve">Vyana reserves the right to modify, suspend, or discontinue the Platform (or any part thereof) at any time, with or without notice. Vyana also reserves the right to modify these Terms at any time. Changes will be effective upon posting to the Platform. Your continued use of the Platform after any changes constitutes your acceptance of the new Terms. It is your responsibility to review these Terms periodically.</w:t>
      </w:r>
    </w:p>
    <w:p>
      <w:pPr>
        <w:pBdr>
          <w:bottom w:val="single" w:color="2D6A4F" w:sz="3" w:space="1"/>
        </w:pBdr>
        <w:spacing w:after="100" w:before="300"/>
      </w:pPr>
      <w:r>
        <w:rPr>
          <w:rFonts w:ascii="Arial" w:cs="Arial" w:eastAsia="Arial" w:hAnsi="Arial"/>
          <w:b/>
          <w:bCs/>
          <w:color w:val="2D6A4F"/>
          <w:sz w:val="26"/>
          <w:szCs w:val="26"/>
        </w:rPr>
        <w:t xml:space="preserve">10. GOVERNING LAW &amp; DISPUTE RESOLUTION</w:t>
      </w:r>
    </w:p>
    <w:p>
      <w:pPr>
        <w:spacing w:after="80" w:before="80"/>
      </w:pPr>
      <w:r>
        <w:rPr>
          <w:rFonts w:ascii="Arial" w:cs="Arial" w:eastAsia="Arial" w:hAnsi="Arial"/>
          <w:sz w:val="22"/>
          <w:szCs w:val="22"/>
        </w:rPr>
        <w:t xml:space="preserve">These Terms are governed by and construed in accordance with the laws of India, without regard to conflict of law principles. Any dispute arising out of or relating to these Terms or the Platform shall be subject to the exclusive jurisdiction of the courts located in [City], India.</w:t>
      </w:r>
    </w:p>
    <w:p>
      <w:pPr>
        <w:spacing w:after="80" w:before="80"/>
      </w:pPr>
      <w:r>
        <w:rPr>
          <w:rFonts w:ascii="Arial" w:cs="Arial" w:eastAsia="Arial" w:hAnsi="Arial"/>
          <w:sz w:val="22"/>
          <w:szCs w:val="22"/>
        </w:rPr>
        <w:t xml:space="preserve">For consumer disputes, the provisions of the Consumer Protection Act, 2019 and the Information Technology Act, 2000 shall also apply.</w:t>
      </w:r>
    </w:p>
    <w:p>
      <w:pPr>
        <w:pBdr>
          <w:bottom w:val="single" w:color="2D6A4F" w:sz="3" w:space="1"/>
        </w:pBdr>
        <w:spacing w:after="100" w:before="300"/>
      </w:pPr>
      <w:r>
        <w:rPr>
          <w:rFonts w:ascii="Arial" w:cs="Arial" w:eastAsia="Arial" w:hAnsi="Arial"/>
          <w:b/>
          <w:bCs/>
          <w:color w:val="2D6A4F"/>
          <w:sz w:val="26"/>
          <w:szCs w:val="26"/>
        </w:rPr>
        <w:t xml:space="preserve">11. SEVERABILITY</w:t>
      </w:r>
    </w:p>
    <w:p>
      <w:pPr>
        <w:spacing w:after="80" w:before="80"/>
      </w:pPr>
      <w:r>
        <w:rPr>
          <w:rFonts w:ascii="Arial" w:cs="Arial" w:eastAsia="Arial" w:hAnsi="Arial"/>
          <w:sz w:val="22"/>
          <w:szCs w:val="22"/>
        </w:rPr>
        <w:t xml:space="preserve">If any provision of these Terms is held to be invalid, illegal, or unenforceable, the remaining provisions shall continue in full force and effect. The invalid provision shall be modified to the minimum extent necessary to make it valid and enforceable.</w:t>
      </w:r>
    </w:p>
    <w:p>
      <w:pPr>
        <w:pBdr>
          <w:bottom w:val="single" w:color="2D6A4F" w:sz="3" w:space="1"/>
        </w:pBdr>
        <w:spacing w:after="100" w:before="300"/>
      </w:pPr>
      <w:r>
        <w:rPr>
          <w:rFonts w:ascii="Arial" w:cs="Arial" w:eastAsia="Arial" w:hAnsi="Arial"/>
          <w:b/>
          <w:bCs/>
          <w:color w:val="2D6A4F"/>
          <w:sz w:val="26"/>
          <w:szCs w:val="26"/>
        </w:rPr>
        <w:t xml:space="preserve">12. ENTIRE AGREEMENT</w:t>
      </w:r>
    </w:p>
    <w:p>
      <w:pPr>
        <w:spacing w:after="80" w:before="80"/>
      </w:pPr>
      <w:r>
        <w:rPr>
          <w:rFonts w:ascii="Arial" w:cs="Arial" w:eastAsia="Arial" w:hAnsi="Arial"/>
          <w:sz w:val="22"/>
          <w:szCs w:val="22"/>
        </w:rPr>
        <w:t xml:space="preserve">These Terms, together with the Privacy Policy, Health Disclaimer, and Cookie Policy, constitute the entire agreement between you and Vyana regarding your use of the Platform and supersede all prior agreements and understandings.</w:t>
      </w:r>
    </w:p>
    <w:p>
      <w:pPr>
        <w:pBdr>
          <w:bottom w:val="single" w:color="2D6A4F" w:sz="3" w:space="1"/>
        </w:pBdr>
        <w:spacing w:after="100" w:before="300"/>
      </w:pPr>
      <w:r>
        <w:rPr>
          <w:rFonts w:ascii="Arial" w:cs="Arial" w:eastAsia="Arial" w:hAnsi="Arial"/>
          <w:b/>
          <w:bCs/>
          <w:color w:val="2D6A4F"/>
          <w:sz w:val="26"/>
          <w:szCs w:val="26"/>
        </w:rPr>
        <w:t xml:space="preserve">13. CONTACT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Company</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Vyana Ayurveda &amp; Wellness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Email</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legal@vyana.com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Grievance Officer</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[Name], grievance@vyana.com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Address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[Registered Office Address, India]</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Response Time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Within 30 days of receipt of complaint</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13bc23d12e2f6da0d5af80a7597551e849b54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2026-06-27T09:19:03.893Z</dcterms:created>
  <dcterms:modified xsi:type="dcterms:W3CDTF">2026-06-27T09:19:03.909Z</dcterms:modified>
</cp:coreProperties>
</file>

<file path=docProps/custom.xml><?xml version="1.0" encoding="utf-8"?>
<Properties xmlns="http://schemas.openxmlformats.org/officeDocument/2006/custom-properties" xmlns:vt="http://schemas.openxmlformats.org/officeDocument/2006/docPropsVTypes"/>
</file>