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before="0"/>
        <w:jc w:val="center"/>
      </w:pPr>
      <w:r>
        <w:drawing>
          <wp:inline distT="0" distB="0" distL="0" distR="0">
            <wp:extent cx="952500" cy="952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952500" cy="952500"/>
                    </a:xfrm>
                    <a:prstGeom prst="rect">
                      <a:avLst/>
                    </a:prstGeom>
                  </pic:spPr>
                </pic:pic>
              </a:graphicData>
            </a:graphic>
          </wp:inline>
        </w:drawing>
      </w:r>
    </w:p>
    <w:p>
      <w:pPr>
        <w:spacing w:after="100" w:before="0"/>
        <w:jc w:val="center"/>
      </w:pPr>
      <w:r>
        <w:rPr>
          <w:rFonts w:ascii="Arial" w:cs="Arial" w:eastAsia="Arial" w:hAnsi="Arial"/>
          <w:b/>
          <w:bCs/>
          <w:color w:val="2D6A4F"/>
          <w:sz w:val="36"/>
          <w:szCs w:val="36"/>
        </w:rPr>
        <w:t xml:space="preserve">PRIVACY POLICY</w:t>
      </w:r>
    </w:p>
    <w:p>
      <w:pPr>
        <w:spacing w:after="160" w:before="0"/>
        <w:jc w:val="center"/>
      </w:pPr>
      <w:r>
        <w:rPr>
          <w:rFonts w:ascii="Arial" w:cs="Arial" w:eastAsia="Arial" w:hAnsi="Arial"/>
          <w:i/>
          <w:iCs/>
          <w:color w:val="666666"/>
          <w:sz w:val="20"/>
          <w:szCs w:val="20"/>
        </w:rPr>
        <w:t xml:space="preserve">How Vyana Collects, Uses, and Protects Your Data</w:t>
      </w:r>
    </w:p>
    <w:p>
      <w:pPr>
        <w:spacing w:after="280" w:before="0"/>
        <w:jc w:val="center"/>
      </w:pPr>
      <w:r>
        <w:rPr>
          <w:rFonts w:ascii="Arial" w:cs="Arial" w:eastAsia="Arial" w:hAnsi="Arial"/>
          <w:color w:val="666666"/>
          <w:sz w:val="20"/>
          <w:szCs w:val="20"/>
        </w:rPr>
        <w:t xml:space="preserve">Effective Date: June 2026  |  Last Updated: June 2026</w:t>
      </w:r>
    </w:p>
    <w:p>
      <w:pPr>
        <w:pBdr>
          <w:bottom w:val="single" w:color="2D6A4F" w:sz="6" w:space="1"/>
        </w:pBdr>
        <w:spacing w:after="200" w:before="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2D6A4F" w:sz="3"/>
              <w:left w:val="single" w:color="2D6A4F" w:sz="3"/>
              <w:bottom w:val="single" w:color="2D6A4F" w:sz="3"/>
              <w:right w:val="single" w:color="2D6A4F" w:sz="3"/>
            </w:tcBorders>
            <w:shd w:fill="EAF4EF" w:val="clear"/>
            <w:tcMar>
              <w:top w:type="dxa" w:w="120"/>
              <w:left w:type="dxa" w:w="180"/>
              <w:bottom w:type="dxa" w:w="120"/>
              <w:right w:type="dxa" w:w="180"/>
            </w:tcMar>
          </w:tcPr>
          <w:p>
            <w:r>
              <w:rPr>
                <w:rFonts w:ascii="Arial" w:cs="Arial" w:eastAsia="Arial" w:hAnsi="Arial"/>
                <w:i/>
                <w:iCs/>
                <w:color w:val="2D6A4F"/>
                <w:sz w:val="22"/>
                <w:szCs w:val="22"/>
              </w:rPr>
              <w:t xml:space="preserve">This Privacy Policy complies with the Information Technology Act, 2000, IT (Amendment) Act, 2008, IT (Reasonable Security Practices) Rules, 2011, and the Digital Personal Data Protection Act, 2023 (DPDP Act).</w:t>
            </w:r>
          </w:p>
        </w:tc>
      </w:tr>
    </w:tbl>
    <w:p>
      <w:pPr>
        <w:spacing w:after="160" w:before="0"/>
      </w:pPr>
    </w:p>
    <w:p>
      <w:pPr>
        <w:pBdr>
          <w:bottom w:val="single" w:color="2D6A4F" w:sz="3" w:space="1"/>
        </w:pBdr>
        <w:spacing w:after="100" w:before="300"/>
      </w:pPr>
      <w:r>
        <w:rPr>
          <w:rFonts w:ascii="Arial" w:cs="Arial" w:eastAsia="Arial" w:hAnsi="Arial"/>
          <w:b/>
          <w:bCs/>
          <w:color w:val="2D6A4F"/>
          <w:sz w:val="26"/>
          <w:szCs w:val="26"/>
        </w:rPr>
        <w:t xml:space="preserve">1. WHO WE ARE</w:t>
      </w:r>
    </w:p>
    <w:p>
      <w:pPr>
        <w:spacing w:after="80" w:before="80"/>
      </w:pPr>
      <w:r>
        <w:rPr>
          <w:rFonts w:ascii="Arial" w:cs="Arial" w:eastAsia="Arial" w:hAnsi="Arial"/>
          <w:sz w:val="22"/>
          <w:szCs w:val="22"/>
        </w:rPr>
        <w:t xml:space="preserve">Vyana Ayurveda &amp; Wellness ("Vyana", "we", "us") operates the website vyana.com and associated mobile applications. We are committed to protecting your personal data and your right to privacy.</w:t>
      </w:r>
    </w:p>
    <w:p>
      <w:pPr>
        <w:spacing w:after="80" w:before="80"/>
      </w:pPr>
      <w:r>
        <w:rPr>
          <w:rFonts w:ascii="Arial" w:cs="Arial" w:eastAsia="Arial" w:hAnsi="Arial"/>
          <w:sz w:val="22"/>
          <w:szCs w:val="22"/>
        </w:rPr>
        <w:t xml:space="preserve">If you have any questions about this Privacy Policy or our data practices, please contact our Data Protection Officer at privacy@vyana.com.</w:t>
      </w:r>
    </w:p>
    <w:p>
      <w:pPr>
        <w:pBdr>
          <w:bottom w:val="single" w:color="2D6A4F" w:sz="3" w:space="1"/>
        </w:pBdr>
        <w:spacing w:after="100" w:before="300"/>
      </w:pPr>
      <w:r>
        <w:rPr>
          <w:rFonts w:ascii="Arial" w:cs="Arial" w:eastAsia="Arial" w:hAnsi="Arial"/>
          <w:b/>
          <w:bCs/>
          <w:color w:val="2D6A4F"/>
          <w:sz w:val="26"/>
          <w:szCs w:val="26"/>
        </w:rPr>
        <w:t xml:space="preserve">2. WHAT DATA WE COLLECT</w:t>
      </w:r>
    </w:p>
    <w:p>
      <w:pPr>
        <w:spacing w:after="80" w:before="80"/>
      </w:pPr>
      <w:r>
        <w:rPr>
          <w:rFonts w:ascii="Arial" w:cs="Arial" w:eastAsia="Arial" w:hAnsi="Arial"/>
          <w:sz w:val="22"/>
          <w:szCs w:val="22"/>
        </w:rPr>
        <w:t xml:space="preserve">We collect the following categories of personal data:</w:t>
      </w:r>
    </w:p>
    <w:p>
      <w:pPr>
        <w:spacing w:after="80" w:before="80"/>
      </w:pPr>
      <w:r>
        <w:rPr>
          <w:rFonts w:ascii="Arial" w:cs="Arial" w:eastAsia="Arial" w:hAnsi="Arial"/>
          <w:b/>
          <w:bCs/>
          <w:sz w:val="22"/>
          <w:szCs w:val="22"/>
        </w:rPr>
        <w:t xml:space="preserve">a) Data You Provide Directly:</w:t>
      </w:r>
    </w:p>
    <w:p>
      <w:pPr>
        <w:pStyle w:val="ListParagraph"/>
        <w:numPr>
          <w:ilvl w:val="0"/>
          <w:numId w:val="2"/>
        </w:numPr>
        <w:spacing w:after="60" w:before="60"/>
      </w:pPr>
      <w:r>
        <w:rPr>
          <w:rFonts w:ascii="Arial" w:cs="Arial" w:eastAsia="Arial" w:hAnsi="Arial"/>
          <w:sz w:val="22"/>
          <w:szCs w:val="22"/>
        </w:rPr>
        <w:t xml:space="preserve">Name, email address, phone number (at registration)</w:t>
      </w:r>
    </w:p>
    <w:p>
      <w:pPr>
        <w:pStyle w:val="ListParagraph"/>
        <w:numPr>
          <w:ilvl w:val="0"/>
          <w:numId w:val="2"/>
        </w:numPr>
        <w:spacing w:after="60" w:before="60"/>
      </w:pPr>
      <w:r>
        <w:rPr>
          <w:rFonts w:ascii="Arial" w:cs="Arial" w:eastAsia="Arial" w:hAnsi="Arial"/>
          <w:sz w:val="22"/>
          <w:szCs w:val="22"/>
        </w:rPr>
        <w:t xml:space="preserve">Billing address and payment information (processed securely via Razorpay/Stripe — we do not store full card details)</w:t>
      </w:r>
    </w:p>
    <w:p>
      <w:pPr>
        <w:pStyle w:val="ListParagraph"/>
        <w:numPr>
          <w:ilvl w:val="0"/>
          <w:numId w:val="2"/>
        </w:numPr>
        <w:spacing w:after="60" w:before="60"/>
      </w:pPr>
      <w:r>
        <w:rPr>
          <w:rFonts w:ascii="Arial" w:cs="Arial" w:eastAsia="Arial" w:hAnsi="Arial"/>
          <w:sz w:val="22"/>
          <w:szCs w:val="22"/>
        </w:rPr>
        <w:t xml:space="preserve">Health information voluntarily shared during consultations (treated as Sensitive Personal Data)</w:t>
      </w:r>
    </w:p>
    <w:p>
      <w:pPr>
        <w:pStyle w:val="ListParagraph"/>
        <w:numPr>
          <w:ilvl w:val="0"/>
          <w:numId w:val="2"/>
        </w:numPr>
        <w:spacing w:after="60" w:before="60"/>
      </w:pPr>
      <w:r>
        <w:rPr>
          <w:rFonts w:ascii="Arial" w:cs="Arial" w:eastAsia="Arial" w:hAnsi="Arial"/>
          <w:sz w:val="22"/>
          <w:szCs w:val="22"/>
        </w:rPr>
        <w:t xml:space="preserve">Communications with us (support tickets, emails, chat)</w:t>
      </w:r>
    </w:p>
    <w:p>
      <w:pPr>
        <w:pStyle w:val="ListParagraph"/>
        <w:numPr>
          <w:ilvl w:val="0"/>
          <w:numId w:val="2"/>
        </w:numPr>
        <w:spacing w:after="60" w:before="60"/>
      </w:pPr>
      <w:r>
        <w:rPr>
          <w:rFonts w:ascii="Arial" w:cs="Arial" w:eastAsia="Arial" w:hAnsi="Arial"/>
          <w:sz w:val="22"/>
          <w:szCs w:val="22"/>
        </w:rPr>
        <w:t xml:space="preserve">Profile information, preferences, and settings</w:t>
      </w:r>
    </w:p>
    <w:p>
      <w:pPr>
        <w:spacing w:after="80" w:before="80"/>
      </w:pPr>
      <w:r>
        <w:rPr>
          <w:rFonts w:ascii="Arial" w:cs="Arial" w:eastAsia="Arial" w:hAnsi="Arial"/>
          <w:b/>
          <w:bCs/>
          <w:sz w:val="22"/>
          <w:szCs w:val="22"/>
        </w:rPr>
        <w:t xml:space="preserve">b) Data Collected Automatically:</w:t>
      </w:r>
    </w:p>
    <w:p>
      <w:pPr>
        <w:pStyle w:val="ListParagraph"/>
        <w:numPr>
          <w:ilvl w:val="0"/>
          <w:numId w:val="2"/>
        </w:numPr>
        <w:spacing w:after="60" w:before="60"/>
      </w:pPr>
      <w:r>
        <w:rPr>
          <w:rFonts w:ascii="Arial" w:cs="Arial" w:eastAsia="Arial" w:hAnsi="Arial"/>
          <w:sz w:val="22"/>
          <w:szCs w:val="22"/>
        </w:rPr>
        <w:t xml:space="preserve">IP address, browser type, and operating system</w:t>
      </w:r>
    </w:p>
    <w:p>
      <w:pPr>
        <w:pStyle w:val="ListParagraph"/>
        <w:numPr>
          <w:ilvl w:val="0"/>
          <w:numId w:val="2"/>
        </w:numPr>
        <w:spacing w:after="60" w:before="60"/>
      </w:pPr>
      <w:r>
        <w:rPr>
          <w:rFonts w:ascii="Arial" w:cs="Arial" w:eastAsia="Arial" w:hAnsi="Arial"/>
          <w:sz w:val="22"/>
          <w:szCs w:val="22"/>
        </w:rPr>
        <w:t xml:space="preserve">Pages visited, time spent, and navigation patterns</w:t>
      </w:r>
    </w:p>
    <w:p>
      <w:pPr>
        <w:pStyle w:val="ListParagraph"/>
        <w:numPr>
          <w:ilvl w:val="0"/>
          <w:numId w:val="2"/>
        </w:numPr>
        <w:spacing w:after="60" w:before="60"/>
      </w:pPr>
      <w:r>
        <w:rPr>
          <w:rFonts w:ascii="Arial" w:cs="Arial" w:eastAsia="Arial" w:hAnsi="Arial"/>
          <w:sz w:val="22"/>
          <w:szCs w:val="22"/>
        </w:rPr>
        <w:t xml:space="preserve">Device identifiers and cookies (see Cookie Policy)</w:t>
      </w:r>
    </w:p>
    <w:p>
      <w:pPr>
        <w:pStyle w:val="ListParagraph"/>
        <w:numPr>
          <w:ilvl w:val="0"/>
          <w:numId w:val="2"/>
        </w:numPr>
        <w:spacing w:after="60" w:before="60"/>
      </w:pPr>
      <w:r>
        <w:rPr>
          <w:rFonts w:ascii="Arial" w:cs="Arial" w:eastAsia="Arial" w:hAnsi="Arial"/>
          <w:sz w:val="22"/>
          <w:szCs w:val="22"/>
        </w:rPr>
        <w:t xml:space="preserve">Referring URLs and search terms</w:t>
      </w:r>
    </w:p>
    <w:p>
      <w:pPr>
        <w:spacing w:after="80" w:before="80"/>
      </w:pPr>
      <w:r>
        <w:rPr>
          <w:rFonts w:ascii="Arial" w:cs="Arial" w:eastAsia="Arial" w:hAnsi="Arial"/>
          <w:b/>
          <w:bCs/>
          <w:sz w:val="22"/>
          <w:szCs w:val="22"/>
        </w:rPr>
        <w:t xml:space="preserve">c) Data from Third Parties:</w:t>
      </w:r>
    </w:p>
    <w:p>
      <w:pPr>
        <w:pStyle w:val="ListParagraph"/>
        <w:numPr>
          <w:ilvl w:val="0"/>
          <w:numId w:val="2"/>
        </w:numPr>
        <w:spacing w:after="60" w:before="60"/>
      </w:pPr>
      <w:r>
        <w:rPr>
          <w:rFonts w:ascii="Arial" w:cs="Arial" w:eastAsia="Arial" w:hAnsi="Arial"/>
          <w:sz w:val="22"/>
          <w:szCs w:val="22"/>
        </w:rPr>
        <w:t xml:space="preserve">Social login data (if you sign in with Google/Facebook)</w:t>
      </w:r>
    </w:p>
    <w:p>
      <w:pPr>
        <w:pStyle w:val="ListParagraph"/>
        <w:numPr>
          <w:ilvl w:val="0"/>
          <w:numId w:val="2"/>
        </w:numPr>
        <w:spacing w:after="60" w:before="60"/>
      </w:pPr>
      <w:r>
        <w:rPr>
          <w:rFonts w:ascii="Arial" w:cs="Arial" w:eastAsia="Arial" w:hAnsi="Arial"/>
          <w:sz w:val="22"/>
          <w:szCs w:val="22"/>
        </w:rPr>
        <w:t xml:space="preserve">Payment verification data from Razorpay/Stripe</w:t>
      </w:r>
    </w:p>
    <w:p>
      <w:pPr>
        <w:pBdr>
          <w:bottom w:val="single" w:color="2D6A4F" w:sz="3" w:space="1"/>
        </w:pBdr>
        <w:spacing w:after="100" w:before="300"/>
      </w:pPr>
      <w:r>
        <w:rPr>
          <w:rFonts w:ascii="Arial" w:cs="Arial" w:eastAsia="Arial" w:hAnsi="Arial"/>
          <w:b/>
          <w:bCs/>
          <w:color w:val="2D6A4F"/>
          <w:sz w:val="26"/>
          <w:szCs w:val="26"/>
        </w:rPr>
        <w:t xml:space="preserve">3. HOW WE USE YOUR DATA</w:t>
      </w:r>
    </w:p>
    <w:p>
      <w:pPr>
        <w:spacing w:after="80" w:before="80"/>
      </w:pPr>
      <w:r>
        <w:rPr>
          <w:rFonts w:ascii="Arial" w:cs="Arial" w:eastAsia="Arial" w:hAnsi="Arial"/>
          <w:sz w:val="22"/>
          <w:szCs w:val="22"/>
        </w:rPr>
        <w:t xml:space="preserve">We use your personal data for the following purposes: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000"/>
        <w:gridCol w:w="6360"/>
      </w:tblGrid>
      <w:tr>
        <w:tc>
          <w:tcPr>
            <w:tcW w:type="dxa" w:w="3000"/>
            <w:tcBorders>
              <w:top w:val="single" w:color="CCCCCC" w:sz="1"/>
              <w:left w:val="single" w:color="CCCCCC" w:sz="1"/>
              <w:bottom w:val="single" w:color="CCCCCC" w:sz="1"/>
              <w:right w:val="single" w:color="CCCCCC" w:sz="1"/>
            </w:tcBorders>
            <w:shd w:fill="EAF4EF" w:val="clear"/>
            <w:tcMar>
              <w:top w:type="dxa" w:w="80"/>
              <w:left w:type="dxa" w:w="120"/>
              <w:bottom w:type="dxa" w:w="80"/>
              <w:right w:type="dxa" w:w="120"/>
            </w:tcMar>
          </w:tcPr>
          <w:p>
            <w:r>
              <w:rPr>
                <w:rFonts w:ascii="Arial" w:cs="Arial" w:eastAsia="Arial" w:hAnsi="Arial"/>
                <w:b/>
                <w:bCs/>
                <w:sz w:val="22"/>
                <w:szCs w:val="22"/>
              </w:rPr>
              <w:t xml:space="preserve">Purpose</w:t>
            </w:r>
          </w:p>
        </w:tc>
        <w:tc>
          <w:tcPr>
            <w:tcW w:type="dxa" w:w="63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2"/>
                <w:szCs w:val="22"/>
              </w:rPr>
              <w:t xml:space="preserve">Legal Basis</w:t>
            </w:r>
          </w:p>
        </w:tc>
      </w:tr>
      <w:tr>
        <w:tc>
          <w:tcPr>
            <w:tcW w:type="dxa" w:w="3000"/>
            <w:tcBorders>
              <w:top w:val="single" w:color="CCCCCC" w:sz="1"/>
              <w:left w:val="single" w:color="CCCCCC" w:sz="1"/>
              <w:bottom w:val="single" w:color="CCCCCC" w:sz="1"/>
              <w:right w:val="single" w:color="CCCCCC" w:sz="1"/>
            </w:tcBorders>
            <w:shd w:fill="EAF4EF" w:val="clear"/>
            <w:tcMar>
              <w:top w:type="dxa" w:w="80"/>
              <w:left w:type="dxa" w:w="120"/>
              <w:bottom w:type="dxa" w:w="80"/>
              <w:right w:type="dxa" w:w="120"/>
            </w:tcMar>
          </w:tcPr>
          <w:p>
            <w:r>
              <w:rPr>
                <w:rFonts w:ascii="Arial" w:cs="Arial" w:eastAsia="Arial" w:hAnsi="Arial"/>
                <w:b/>
                <w:bCs/>
                <w:sz w:val="22"/>
                <w:szCs w:val="22"/>
              </w:rPr>
              <w:t xml:space="preserve">Creating and managing your account</w:t>
            </w:r>
          </w:p>
        </w:tc>
        <w:tc>
          <w:tcPr>
            <w:tcW w:type="dxa" w:w="63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2"/>
                <w:szCs w:val="22"/>
              </w:rPr>
              <w:t xml:space="preserve">Contract performance</w:t>
            </w:r>
          </w:p>
        </w:tc>
      </w:tr>
      <w:tr>
        <w:tc>
          <w:tcPr>
            <w:tcW w:type="dxa" w:w="3000"/>
            <w:tcBorders>
              <w:top w:val="single" w:color="CCCCCC" w:sz="1"/>
              <w:left w:val="single" w:color="CCCCCC" w:sz="1"/>
              <w:bottom w:val="single" w:color="CCCCCC" w:sz="1"/>
              <w:right w:val="single" w:color="CCCCCC" w:sz="1"/>
            </w:tcBorders>
            <w:shd w:fill="EAF4EF" w:val="clear"/>
            <w:tcMar>
              <w:top w:type="dxa" w:w="80"/>
              <w:left w:type="dxa" w:w="120"/>
              <w:bottom w:type="dxa" w:w="80"/>
              <w:right w:type="dxa" w:w="120"/>
            </w:tcMar>
          </w:tcPr>
          <w:p>
            <w:r>
              <w:rPr>
                <w:rFonts w:ascii="Arial" w:cs="Arial" w:eastAsia="Arial" w:hAnsi="Arial"/>
                <w:b/>
                <w:bCs/>
                <w:sz w:val="22"/>
                <w:szCs w:val="22"/>
              </w:rPr>
              <w:t xml:space="preserve">Processing payments and transactions</w:t>
            </w:r>
          </w:p>
        </w:tc>
        <w:tc>
          <w:tcPr>
            <w:tcW w:type="dxa" w:w="63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2"/>
                <w:szCs w:val="22"/>
              </w:rPr>
              <w:t xml:space="preserve">Contract performance</w:t>
            </w:r>
          </w:p>
        </w:tc>
      </w:tr>
      <w:tr>
        <w:tc>
          <w:tcPr>
            <w:tcW w:type="dxa" w:w="3000"/>
            <w:tcBorders>
              <w:top w:val="single" w:color="CCCCCC" w:sz="1"/>
              <w:left w:val="single" w:color="CCCCCC" w:sz="1"/>
              <w:bottom w:val="single" w:color="CCCCCC" w:sz="1"/>
              <w:right w:val="single" w:color="CCCCCC" w:sz="1"/>
            </w:tcBorders>
            <w:shd w:fill="EAF4EF" w:val="clear"/>
            <w:tcMar>
              <w:top w:type="dxa" w:w="80"/>
              <w:left w:type="dxa" w:w="120"/>
              <w:bottom w:type="dxa" w:w="80"/>
              <w:right w:type="dxa" w:w="120"/>
            </w:tcMar>
          </w:tcPr>
          <w:p>
            <w:r>
              <w:rPr>
                <w:rFonts w:ascii="Arial" w:cs="Arial" w:eastAsia="Arial" w:hAnsi="Arial"/>
                <w:b/>
                <w:bCs/>
                <w:sz w:val="22"/>
                <w:szCs w:val="22"/>
              </w:rPr>
              <w:t xml:space="preserve">Providing customer support</w:t>
            </w:r>
          </w:p>
        </w:tc>
        <w:tc>
          <w:tcPr>
            <w:tcW w:type="dxa" w:w="63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2"/>
                <w:szCs w:val="22"/>
              </w:rPr>
              <w:t xml:space="preserve">Contract performance / Legitimate interest</w:t>
            </w:r>
          </w:p>
        </w:tc>
      </w:tr>
      <w:tr>
        <w:tc>
          <w:tcPr>
            <w:tcW w:type="dxa" w:w="3000"/>
            <w:tcBorders>
              <w:top w:val="single" w:color="CCCCCC" w:sz="1"/>
              <w:left w:val="single" w:color="CCCCCC" w:sz="1"/>
              <w:bottom w:val="single" w:color="CCCCCC" w:sz="1"/>
              <w:right w:val="single" w:color="CCCCCC" w:sz="1"/>
            </w:tcBorders>
            <w:shd w:fill="EAF4EF" w:val="clear"/>
            <w:tcMar>
              <w:top w:type="dxa" w:w="80"/>
              <w:left w:type="dxa" w:w="120"/>
              <w:bottom w:type="dxa" w:w="80"/>
              <w:right w:type="dxa" w:w="120"/>
            </w:tcMar>
          </w:tcPr>
          <w:p>
            <w:r>
              <w:rPr>
                <w:rFonts w:ascii="Arial" w:cs="Arial" w:eastAsia="Arial" w:hAnsi="Arial"/>
                <w:b/>
                <w:bCs/>
                <w:sz w:val="22"/>
                <w:szCs w:val="22"/>
              </w:rPr>
              <w:t xml:space="preserve">Sending booking confirmations and receipts</w:t>
            </w:r>
          </w:p>
        </w:tc>
        <w:tc>
          <w:tcPr>
            <w:tcW w:type="dxa" w:w="63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2"/>
                <w:szCs w:val="22"/>
              </w:rPr>
              <w:t xml:space="preserve">Contract performance</w:t>
            </w:r>
          </w:p>
        </w:tc>
      </w:tr>
      <w:tr>
        <w:tc>
          <w:tcPr>
            <w:tcW w:type="dxa" w:w="3000"/>
            <w:tcBorders>
              <w:top w:val="single" w:color="CCCCCC" w:sz="1"/>
              <w:left w:val="single" w:color="CCCCCC" w:sz="1"/>
              <w:bottom w:val="single" w:color="CCCCCC" w:sz="1"/>
              <w:right w:val="single" w:color="CCCCCC" w:sz="1"/>
            </w:tcBorders>
            <w:shd w:fill="EAF4EF" w:val="clear"/>
            <w:tcMar>
              <w:top w:type="dxa" w:w="80"/>
              <w:left w:type="dxa" w:w="120"/>
              <w:bottom w:type="dxa" w:w="80"/>
              <w:right w:type="dxa" w:w="120"/>
            </w:tcMar>
          </w:tcPr>
          <w:p>
            <w:r>
              <w:rPr>
                <w:rFonts w:ascii="Arial" w:cs="Arial" w:eastAsia="Arial" w:hAnsi="Arial"/>
                <w:b/>
                <w:bCs/>
                <w:sz w:val="22"/>
                <w:szCs w:val="22"/>
              </w:rPr>
              <w:t xml:space="preserve">Sending marketing emails (with consent)</w:t>
            </w:r>
          </w:p>
        </w:tc>
        <w:tc>
          <w:tcPr>
            <w:tcW w:type="dxa" w:w="63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2"/>
                <w:szCs w:val="22"/>
              </w:rPr>
              <w:t xml:space="preserve">Consent (withdrawable anytime)</w:t>
            </w:r>
          </w:p>
        </w:tc>
      </w:tr>
      <w:tr>
        <w:tc>
          <w:tcPr>
            <w:tcW w:type="dxa" w:w="3000"/>
            <w:tcBorders>
              <w:top w:val="single" w:color="CCCCCC" w:sz="1"/>
              <w:left w:val="single" w:color="CCCCCC" w:sz="1"/>
              <w:bottom w:val="single" w:color="CCCCCC" w:sz="1"/>
              <w:right w:val="single" w:color="CCCCCC" w:sz="1"/>
            </w:tcBorders>
            <w:shd w:fill="EAF4EF" w:val="clear"/>
            <w:tcMar>
              <w:top w:type="dxa" w:w="80"/>
              <w:left w:type="dxa" w:w="120"/>
              <w:bottom w:type="dxa" w:w="80"/>
              <w:right w:type="dxa" w:w="120"/>
            </w:tcMar>
          </w:tcPr>
          <w:p>
            <w:r>
              <w:rPr>
                <w:rFonts w:ascii="Arial" w:cs="Arial" w:eastAsia="Arial" w:hAnsi="Arial"/>
                <w:b/>
                <w:bCs/>
                <w:sz w:val="22"/>
                <w:szCs w:val="22"/>
              </w:rPr>
              <w:t xml:space="preserve">Improving the Platform</w:t>
            </w:r>
          </w:p>
        </w:tc>
        <w:tc>
          <w:tcPr>
            <w:tcW w:type="dxa" w:w="63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2"/>
                <w:szCs w:val="22"/>
              </w:rPr>
              <w:t xml:space="preserve">Legitimate interest</w:t>
            </w:r>
          </w:p>
        </w:tc>
      </w:tr>
      <w:tr>
        <w:tc>
          <w:tcPr>
            <w:tcW w:type="dxa" w:w="3000"/>
            <w:tcBorders>
              <w:top w:val="single" w:color="CCCCCC" w:sz="1"/>
              <w:left w:val="single" w:color="CCCCCC" w:sz="1"/>
              <w:bottom w:val="single" w:color="CCCCCC" w:sz="1"/>
              <w:right w:val="single" w:color="CCCCCC" w:sz="1"/>
            </w:tcBorders>
            <w:shd w:fill="EAF4EF" w:val="clear"/>
            <w:tcMar>
              <w:top w:type="dxa" w:w="80"/>
              <w:left w:type="dxa" w:w="120"/>
              <w:bottom w:type="dxa" w:w="80"/>
              <w:right w:type="dxa" w:w="120"/>
            </w:tcMar>
          </w:tcPr>
          <w:p>
            <w:r>
              <w:rPr>
                <w:rFonts w:ascii="Arial" w:cs="Arial" w:eastAsia="Arial" w:hAnsi="Arial"/>
                <w:b/>
                <w:bCs/>
                <w:sz w:val="22"/>
                <w:szCs w:val="22"/>
              </w:rPr>
              <w:t xml:space="preserve">Fraud prevention and security</w:t>
            </w:r>
          </w:p>
        </w:tc>
        <w:tc>
          <w:tcPr>
            <w:tcW w:type="dxa" w:w="63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2"/>
                <w:szCs w:val="22"/>
              </w:rPr>
              <w:t xml:space="preserve">Legitimate interest / Legal obligation</w:t>
            </w:r>
          </w:p>
        </w:tc>
      </w:tr>
      <w:tr>
        <w:tc>
          <w:tcPr>
            <w:tcW w:type="dxa" w:w="3000"/>
            <w:tcBorders>
              <w:top w:val="single" w:color="CCCCCC" w:sz="1"/>
              <w:left w:val="single" w:color="CCCCCC" w:sz="1"/>
              <w:bottom w:val="single" w:color="CCCCCC" w:sz="1"/>
              <w:right w:val="single" w:color="CCCCCC" w:sz="1"/>
            </w:tcBorders>
            <w:shd w:fill="EAF4EF" w:val="clear"/>
            <w:tcMar>
              <w:top w:type="dxa" w:w="80"/>
              <w:left w:type="dxa" w:w="120"/>
              <w:bottom w:type="dxa" w:w="80"/>
              <w:right w:type="dxa" w:w="120"/>
            </w:tcMar>
          </w:tcPr>
          <w:p>
            <w:r>
              <w:rPr>
                <w:rFonts w:ascii="Arial" w:cs="Arial" w:eastAsia="Arial" w:hAnsi="Arial"/>
                <w:b/>
                <w:bCs/>
                <w:sz w:val="22"/>
                <w:szCs w:val="22"/>
              </w:rPr>
              <w:t xml:space="preserve">Complying with tax and legal obligations</w:t>
            </w:r>
          </w:p>
        </w:tc>
        <w:tc>
          <w:tcPr>
            <w:tcW w:type="dxa" w:w="63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2"/>
                <w:szCs w:val="22"/>
              </w:rPr>
              <w:t xml:space="preserve">Legal obligation</w:t>
            </w:r>
          </w:p>
        </w:tc>
      </w:tr>
      <w:tr>
        <w:tc>
          <w:tcPr>
            <w:tcW w:type="dxa" w:w="3000"/>
            <w:tcBorders>
              <w:top w:val="single" w:color="CCCCCC" w:sz="1"/>
              <w:left w:val="single" w:color="CCCCCC" w:sz="1"/>
              <w:bottom w:val="single" w:color="CCCCCC" w:sz="1"/>
              <w:right w:val="single" w:color="CCCCCC" w:sz="1"/>
            </w:tcBorders>
            <w:shd w:fill="EAF4EF" w:val="clear"/>
            <w:tcMar>
              <w:top w:type="dxa" w:w="80"/>
              <w:left w:type="dxa" w:w="120"/>
              <w:bottom w:type="dxa" w:w="80"/>
              <w:right w:type="dxa" w:w="120"/>
            </w:tcMar>
          </w:tcPr>
          <w:p>
            <w:r>
              <w:rPr>
                <w:rFonts w:ascii="Arial" w:cs="Arial" w:eastAsia="Arial" w:hAnsi="Arial"/>
                <w:b/>
                <w:bCs/>
                <w:sz w:val="22"/>
                <w:szCs w:val="22"/>
              </w:rPr>
              <w:t xml:space="preserve">Analytics and platform performance</w:t>
            </w:r>
          </w:p>
        </w:tc>
        <w:tc>
          <w:tcPr>
            <w:tcW w:type="dxa" w:w="63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2"/>
                <w:szCs w:val="22"/>
              </w:rPr>
              <w:t xml:space="preserve">Legitimate interest</w:t>
            </w:r>
          </w:p>
        </w:tc>
      </w:tr>
    </w:tbl>
    <w:p>
      <w:pPr>
        <w:pBdr>
          <w:bottom w:val="single" w:color="2D6A4F" w:sz="3" w:space="1"/>
        </w:pBdr>
        <w:spacing w:after="100" w:before="300"/>
      </w:pPr>
      <w:r>
        <w:rPr>
          <w:rFonts w:ascii="Arial" w:cs="Arial" w:eastAsia="Arial" w:hAnsi="Arial"/>
          <w:b/>
          <w:bCs/>
          <w:color w:val="2D6A4F"/>
          <w:sz w:val="26"/>
          <w:szCs w:val="26"/>
        </w:rPr>
        <w:t xml:space="preserve">4. SENSITIVE PERSONAL DATA</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0392B" w:sz="4"/>
              <w:left w:val="single" w:color="C0392B" w:sz="4"/>
              <w:bottom w:val="single" w:color="C0392B" w:sz="4"/>
              <w:right w:val="single" w:color="C0392B" w:sz="4"/>
            </w:tcBorders>
            <w:shd w:fill="FDEDEC" w:val="clear"/>
            <w:tcMar>
              <w:top w:type="dxa" w:w="120"/>
              <w:left w:type="dxa" w:w="180"/>
              <w:bottom w:type="dxa" w:w="120"/>
              <w:right w:type="dxa" w:w="180"/>
            </w:tcMar>
          </w:tcPr>
          <w:p>
            <w:r>
              <w:rPr>
                <w:rFonts w:ascii="Arial" w:cs="Arial" w:eastAsia="Arial" w:hAnsi="Arial"/>
                <w:b/>
                <w:bCs/>
                <w:color w:val="C0392B"/>
                <w:sz w:val="22"/>
                <w:szCs w:val="22"/>
              </w:rPr>
              <w:t xml:space="preserve">Health and wellness information shared during Ayurveda consultations is classified as Sensitive Personal Data under Indian law. It is collected only with your explicit consent, used solely for your wellness consultation, and never sold or shared with third parties without your consent.</w:t>
            </w:r>
          </w:p>
        </w:tc>
      </w:tr>
    </w:tbl>
    <w:p>
      <w:pPr>
        <w:pBdr>
          <w:bottom w:val="single" w:color="2D6A4F" w:sz="3" w:space="1"/>
        </w:pBdr>
        <w:spacing w:after="100" w:before="300"/>
      </w:pPr>
      <w:r>
        <w:rPr>
          <w:rFonts w:ascii="Arial" w:cs="Arial" w:eastAsia="Arial" w:hAnsi="Arial"/>
          <w:b/>
          <w:bCs/>
          <w:color w:val="2D6A4F"/>
          <w:sz w:val="26"/>
          <w:szCs w:val="26"/>
        </w:rPr>
        <w:t xml:space="preserve">5. WHO WE SHARE YOUR DATA WITH</w:t>
      </w:r>
    </w:p>
    <w:p>
      <w:pPr>
        <w:spacing w:after="80" w:before="80"/>
      </w:pPr>
      <w:r>
        <w:rPr>
          <w:rFonts w:ascii="Arial" w:cs="Arial" w:eastAsia="Arial" w:hAnsi="Arial"/>
          <w:sz w:val="22"/>
          <w:szCs w:val="22"/>
        </w:rPr>
        <w:t xml:space="preserve">We do not sell your personal data. We may share it with:</w:t>
      </w:r>
    </w:p>
    <w:p>
      <w:pPr>
        <w:pStyle w:val="ListParagraph"/>
        <w:numPr>
          <w:ilvl w:val="0"/>
          <w:numId w:val="2"/>
        </w:numPr>
        <w:spacing w:after="60" w:before="60"/>
      </w:pPr>
      <w:r>
        <w:rPr>
          <w:rFonts w:ascii="Arial" w:cs="Arial" w:eastAsia="Arial" w:hAnsi="Arial"/>
          <w:sz w:val="22"/>
          <w:szCs w:val="22"/>
        </w:rPr>
        <w:t xml:space="preserve">Wellness vendors and practitioners on the platform — only to fulfill your booking</w:t>
      </w:r>
    </w:p>
    <w:p>
      <w:pPr>
        <w:pStyle w:val="ListParagraph"/>
        <w:numPr>
          <w:ilvl w:val="0"/>
          <w:numId w:val="2"/>
        </w:numPr>
        <w:spacing w:after="60" w:before="60"/>
      </w:pPr>
      <w:r>
        <w:rPr>
          <w:rFonts w:ascii="Arial" w:cs="Arial" w:eastAsia="Arial" w:hAnsi="Arial"/>
          <w:sz w:val="22"/>
          <w:szCs w:val="22"/>
        </w:rPr>
        <w:t xml:space="preserve">Payment processors (Razorpay, Stripe) — to process transactions securely</w:t>
      </w:r>
    </w:p>
    <w:p>
      <w:pPr>
        <w:pStyle w:val="ListParagraph"/>
        <w:numPr>
          <w:ilvl w:val="0"/>
          <w:numId w:val="2"/>
        </w:numPr>
        <w:spacing w:after="60" w:before="60"/>
      </w:pPr>
      <w:r>
        <w:rPr>
          <w:rFonts w:ascii="Arial" w:cs="Arial" w:eastAsia="Arial" w:hAnsi="Arial"/>
          <w:sz w:val="22"/>
          <w:szCs w:val="22"/>
        </w:rPr>
        <w:t xml:space="preserve">Cloud hosting providers (AWS, Google Cloud, Vercel) — to operate the Platform</w:t>
      </w:r>
    </w:p>
    <w:p>
      <w:pPr>
        <w:pStyle w:val="ListParagraph"/>
        <w:numPr>
          <w:ilvl w:val="0"/>
          <w:numId w:val="2"/>
        </w:numPr>
        <w:spacing w:after="60" w:before="60"/>
      </w:pPr>
      <w:r>
        <w:rPr>
          <w:rFonts w:ascii="Arial" w:cs="Arial" w:eastAsia="Arial" w:hAnsi="Arial"/>
          <w:sz w:val="22"/>
          <w:szCs w:val="22"/>
        </w:rPr>
        <w:t xml:space="preserve">Analytics providers (Google Analytics) — in anonymised/aggregated form</w:t>
      </w:r>
    </w:p>
    <w:p>
      <w:pPr>
        <w:pStyle w:val="ListParagraph"/>
        <w:numPr>
          <w:ilvl w:val="0"/>
          <w:numId w:val="2"/>
        </w:numPr>
        <w:spacing w:after="60" w:before="60"/>
      </w:pPr>
      <w:r>
        <w:rPr>
          <w:rFonts w:ascii="Arial" w:cs="Arial" w:eastAsia="Arial" w:hAnsi="Arial"/>
          <w:sz w:val="22"/>
          <w:szCs w:val="22"/>
        </w:rPr>
        <w:t xml:space="preserve">Legal authorities — when required by law, court order, or to protect our rights</w:t>
      </w:r>
    </w:p>
    <w:p>
      <w:pPr>
        <w:pStyle w:val="ListParagraph"/>
        <w:numPr>
          <w:ilvl w:val="0"/>
          <w:numId w:val="2"/>
        </w:numPr>
        <w:spacing w:after="60" w:before="60"/>
      </w:pPr>
      <w:r>
        <w:rPr>
          <w:rFonts w:ascii="Arial" w:cs="Arial" w:eastAsia="Arial" w:hAnsi="Arial"/>
          <w:sz w:val="22"/>
          <w:szCs w:val="22"/>
        </w:rPr>
        <w:t xml:space="preserve">Business successors — in the event of a merger, acquisition, or sale of assets</w:t>
      </w:r>
    </w:p>
    <w:p>
      <w:pPr>
        <w:spacing w:after="80" w:before="80"/>
      </w:pPr>
      <w:r>
        <w:rPr>
          <w:rFonts w:ascii="Arial" w:cs="Arial" w:eastAsia="Arial" w:hAnsi="Arial"/>
          <w:sz w:val="22"/>
          <w:szCs w:val="22"/>
        </w:rPr>
        <w:t xml:space="preserve">All third parties are contractually required to protect your data and use it only for specified purposes.</w:t>
      </w:r>
    </w:p>
    <w:p>
      <w:pPr>
        <w:pBdr>
          <w:bottom w:val="single" w:color="2D6A4F" w:sz="3" w:space="1"/>
        </w:pBdr>
        <w:spacing w:after="100" w:before="300"/>
      </w:pPr>
      <w:r>
        <w:rPr>
          <w:rFonts w:ascii="Arial" w:cs="Arial" w:eastAsia="Arial" w:hAnsi="Arial"/>
          <w:b/>
          <w:bCs/>
          <w:color w:val="2D6A4F"/>
          <w:sz w:val="26"/>
          <w:szCs w:val="26"/>
        </w:rPr>
        <w:t xml:space="preserve">6. DATA RETENTION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000"/>
        <w:gridCol w:w="6360"/>
      </w:tblGrid>
      <w:tr>
        <w:tc>
          <w:tcPr>
            <w:tcW w:type="dxa" w:w="3000"/>
            <w:tcBorders>
              <w:top w:val="single" w:color="CCCCCC" w:sz="1"/>
              <w:left w:val="single" w:color="CCCCCC" w:sz="1"/>
              <w:bottom w:val="single" w:color="CCCCCC" w:sz="1"/>
              <w:right w:val="single" w:color="CCCCCC" w:sz="1"/>
            </w:tcBorders>
            <w:shd w:fill="EAF4EF" w:val="clear"/>
            <w:tcMar>
              <w:top w:type="dxa" w:w="80"/>
              <w:left w:type="dxa" w:w="120"/>
              <w:bottom w:type="dxa" w:w="80"/>
              <w:right w:type="dxa" w:w="120"/>
            </w:tcMar>
          </w:tcPr>
          <w:p>
            <w:r>
              <w:rPr>
                <w:rFonts w:ascii="Arial" w:cs="Arial" w:eastAsia="Arial" w:hAnsi="Arial"/>
                <w:b/>
                <w:bCs/>
                <w:sz w:val="22"/>
                <w:szCs w:val="22"/>
              </w:rPr>
              <w:t xml:space="preserve">Data Type</w:t>
            </w:r>
          </w:p>
        </w:tc>
        <w:tc>
          <w:tcPr>
            <w:tcW w:type="dxa" w:w="63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2"/>
                <w:szCs w:val="22"/>
              </w:rPr>
              <w:t xml:space="preserve">Retention Period</w:t>
            </w:r>
          </w:p>
        </w:tc>
      </w:tr>
      <w:tr>
        <w:tc>
          <w:tcPr>
            <w:tcW w:type="dxa" w:w="3000"/>
            <w:tcBorders>
              <w:top w:val="single" w:color="CCCCCC" w:sz="1"/>
              <w:left w:val="single" w:color="CCCCCC" w:sz="1"/>
              <w:bottom w:val="single" w:color="CCCCCC" w:sz="1"/>
              <w:right w:val="single" w:color="CCCCCC" w:sz="1"/>
            </w:tcBorders>
            <w:shd w:fill="EAF4EF" w:val="clear"/>
            <w:tcMar>
              <w:top w:type="dxa" w:w="80"/>
              <w:left w:type="dxa" w:w="120"/>
              <w:bottom w:type="dxa" w:w="80"/>
              <w:right w:type="dxa" w:w="120"/>
            </w:tcMar>
          </w:tcPr>
          <w:p>
            <w:r>
              <w:rPr>
                <w:rFonts w:ascii="Arial" w:cs="Arial" w:eastAsia="Arial" w:hAnsi="Arial"/>
                <w:b/>
                <w:bCs/>
                <w:sz w:val="22"/>
                <w:szCs w:val="22"/>
              </w:rPr>
              <w:t xml:space="preserve">Account data</w:t>
            </w:r>
          </w:p>
        </w:tc>
        <w:tc>
          <w:tcPr>
            <w:tcW w:type="dxa" w:w="63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2"/>
                <w:szCs w:val="22"/>
              </w:rPr>
              <w:t xml:space="preserve">Duration of account + 3 years after closure</w:t>
            </w:r>
          </w:p>
        </w:tc>
      </w:tr>
      <w:tr>
        <w:tc>
          <w:tcPr>
            <w:tcW w:type="dxa" w:w="3000"/>
            <w:tcBorders>
              <w:top w:val="single" w:color="CCCCCC" w:sz="1"/>
              <w:left w:val="single" w:color="CCCCCC" w:sz="1"/>
              <w:bottom w:val="single" w:color="CCCCCC" w:sz="1"/>
              <w:right w:val="single" w:color="CCCCCC" w:sz="1"/>
            </w:tcBorders>
            <w:shd w:fill="EAF4EF" w:val="clear"/>
            <w:tcMar>
              <w:top w:type="dxa" w:w="80"/>
              <w:left w:type="dxa" w:w="120"/>
              <w:bottom w:type="dxa" w:w="80"/>
              <w:right w:type="dxa" w:w="120"/>
            </w:tcMar>
          </w:tcPr>
          <w:p>
            <w:r>
              <w:rPr>
                <w:rFonts w:ascii="Arial" w:cs="Arial" w:eastAsia="Arial" w:hAnsi="Arial"/>
                <w:b/>
                <w:bCs/>
                <w:sz w:val="22"/>
                <w:szCs w:val="22"/>
              </w:rPr>
              <w:t xml:space="preserve">Transaction records</w:t>
            </w:r>
          </w:p>
        </w:tc>
        <w:tc>
          <w:tcPr>
            <w:tcW w:type="dxa" w:w="63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2"/>
                <w:szCs w:val="22"/>
              </w:rPr>
              <w:t xml:space="preserve">7 years (as required by Indian tax law)</w:t>
            </w:r>
          </w:p>
        </w:tc>
      </w:tr>
      <w:tr>
        <w:tc>
          <w:tcPr>
            <w:tcW w:type="dxa" w:w="3000"/>
            <w:tcBorders>
              <w:top w:val="single" w:color="CCCCCC" w:sz="1"/>
              <w:left w:val="single" w:color="CCCCCC" w:sz="1"/>
              <w:bottom w:val="single" w:color="CCCCCC" w:sz="1"/>
              <w:right w:val="single" w:color="CCCCCC" w:sz="1"/>
            </w:tcBorders>
            <w:shd w:fill="EAF4EF" w:val="clear"/>
            <w:tcMar>
              <w:top w:type="dxa" w:w="80"/>
              <w:left w:type="dxa" w:w="120"/>
              <w:bottom w:type="dxa" w:w="80"/>
              <w:right w:type="dxa" w:w="120"/>
            </w:tcMar>
          </w:tcPr>
          <w:p>
            <w:r>
              <w:rPr>
                <w:rFonts w:ascii="Arial" w:cs="Arial" w:eastAsia="Arial" w:hAnsi="Arial"/>
                <w:b/>
                <w:bCs/>
                <w:sz w:val="22"/>
                <w:szCs w:val="22"/>
              </w:rPr>
              <w:t xml:space="preserve">Health consultation data</w:t>
            </w:r>
          </w:p>
        </w:tc>
        <w:tc>
          <w:tcPr>
            <w:tcW w:type="dxa" w:w="63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2"/>
                <w:szCs w:val="22"/>
              </w:rPr>
              <w:t xml:space="preserve">5 years or as required by practitioner regulations</w:t>
            </w:r>
          </w:p>
        </w:tc>
      </w:tr>
      <w:tr>
        <w:tc>
          <w:tcPr>
            <w:tcW w:type="dxa" w:w="3000"/>
            <w:tcBorders>
              <w:top w:val="single" w:color="CCCCCC" w:sz="1"/>
              <w:left w:val="single" w:color="CCCCCC" w:sz="1"/>
              <w:bottom w:val="single" w:color="CCCCCC" w:sz="1"/>
              <w:right w:val="single" w:color="CCCCCC" w:sz="1"/>
            </w:tcBorders>
            <w:shd w:fill="EAF4EF" w:val="clear"/>
            <w:tcMar>
              <w:top w:type="dxa" w:w="80"/>
              <w:left w:type="dxa" w:w="120"/>
              <w:bottom w:type="dxa" w:w="80"/>
              <w:right w:type="dxa" w:w="120"/>
            </w:tcMar>
          </w:tcPr>
          <w:p>
            <w:r>
              <w:rPr>
                <w:rFonts w:ascii="Arial" w:cs="Arial" w:eastAsia="Arial" w:hAnsi="Arial"/>
                <w:b/>
                <w:bCs/>
                <w:sz w:val="22"/>
                <w:szCs w:val="22"/>
              </w:rPr>
              <w:t xml:space="preserve">Marketing preferences</w:t>
            </w:r>
          </w:p>
        </w:tc>
        <w:tc>
          <w:tcPr>
            <w:tcW w:type="dxa" w:w="63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2"/>
                <w:szCs w:val="22"/>
              </w:rPr>
              <w:t xml:space="preserve">Until withdrawn or account closure</w:t>
            </w:r>
          </w:p>
        </w:tc>
      </w:tr>
      <w:tr>
        <w:tc>
          <w:tcPr>
            <w:tcW w:type="dxa" w:w="3000"/>
            <w:tcBorders>
              <w:top w:val="single" w:color="CCCCCC" w:sz="1"/>
              <w:left w:val="single" w:color="CCCCCC" w:sz="1"/>
              <w:bottom w:val="single" w:color="CCCCCC" w:sz="1"/>
              <w:right w:val="single" w:color="CCCCCC" w:sz="1"/>
            </w:tcBorders>
            <w:shd w:fill="EAF4EF" w:val="clear"/>
            <w:tcMar>
              <w:top w:type="dxa" w:w="80"/>
              <w:left w:type="dxa" w:w="120"/>
              <w:bottom w:type="dxa" w:w="80"/>
              <w:right w:type="dxa" w:w="120"/>
            </w:tcMar>
          </w:tcPr>
          <w:p>
            <w:r>
              <w:rPr>
                <w:rFonts w:ascii="Arial" w:cs="Arial" w:eastAsia="Arial" w:hAnsi="Arial"/>
                <w:b/>
                <w:bCs/>
                <w:sz w:val="22"/>
                <w:szCs w:val="22"/>
              </w:rPr>
              <w:t xml:space="preserve">Server logs / IP data</w:t>
            </w:r>
          </w:p>
        </w:tc>
        <w:tc>
          <w:tcPr>
            <w:tcW w:type="dxa" w:w="63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2"/>
                <w:szCs w:val="22"/>
              </w:rPr>
              <w:t xml:space="preserve">90 days</w:t>
            </w:r>
          </w:p>
        </w:tc>
      </w:tr>
      <w:tr>
        <w:tc>
          <w:tcPr>
            <w:tcW w:type="dxa" w:w="3000"/>
            <w:tcBorders>
              <w:top w:val="single" w:color="CCCCCC" w:sz="1"/>
              <w:left w:val="single" w:color="CCCCCC" w:sz="1"/>
              <w:bottom w:val="single" w:color="CCCCCC" w:sz="1"/>
              <w:right w:val="single" w:color="CCCCCC" w:sz="1"/>
            </w:tcBorders>
            <w:shd w:fill="EAF4EF" w:val="clear"/>
            <w:tcMar>
              <w:top w:type="dxa" w:w="80"/>
              <w:left w:type="dxa" w:w="120"/>
              <w:bottom w:type="dxa" w:w="80"/>
              <w:right w:type="dxa" w:w="120"/>
            </w:tcMar>
          </w:tcPr>
          <w:p>
            <w:r>
              <w:rPr>
                <w:rFonts w:ascii="Arial" w:cs="Arial" w:eastAsia="Arial" w:hAnsi="Arial"/>
                <w:b/>
                <w:bCs/>
                <w:sz w:val="22"/>
                <w:szCs w:val="22"/>
              </w:rPr>
              <w:t xml:space="preserve">Cookie data</w:t>
            </w:r>
          </w:p>
        </w:tc>
        <w:tc>
          <w:tcPr>
            <w:tcW w:type="dxa" w:w="63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2"/>
                <w:szCs w:val="22"/>
              </w:rPr>
              <w:t xml:space="preserve">As specified in Cookie Policy</w:t>
            </w:r>
          </w:p>
        </w:tc>
      </w:tr>
    </w:tbl>
    <w:p>
      <w:pPr>
        <w:pBdr>
          <w:bottom w:val="single" w:color="2D6A4F" w:sz="3" w:space="1"/>
        </w:pBdr>
        <w:spacing w:after="100" w:before="300"/>
      </w:pPr>
      <w:r>
        <w:rPr>
          <w:rFonts w:ascii="Arial" w:cs="Arial" w:eastAsia="Arial" w:hAnsi="Arial"/>
          <w:b/>
          <w:bCs/>
          <w:color w:val="2D6A4F"/>
          <w:sz w:val="26"/>
          <w:szCs w:val="26"/>
        </w:rPr>
        <w:t xml:space="preserve">7. YOUR RIGHTS UNDER DPDP ACT 2023</w:t>
      </w:r>
    </w:p>
    <w:p>
      <w:pPr>
        <w:spacing w:after="80" w:before="80"/>
      </w:pPr>
      <w:r>
        <w:rPr>
          <w:rFonts w:ascii="Arial" w:cs="Arial" w:eastAsia="Arial" w:hAnsi="Arial"/>
          <w:sz w:val="22"/>
          <w:szCs w:val="22"/>
        </w:rPr>
        <w:t xml:space="preserve">As a data principal under the Digital Personal Data Protection Act, 2023, you have the right to:</w:t>
      </w:r>
    </w:p>
    <w:p>
      <w:pPr>
        <w:pStyle w:val="ListParagraph"/>
        <w:numPr>
          <w:ilvl w:val="0"/>
          <w:numId w:val="2"/>
        </w:numPr>
        <w:spacing w:after="60" w:before="60"/>
      </w:pPr>
      <w:r>
        <w:rPr>
          <w:rFonts w:ascii="Arial" w:cs="Arial" w:eastAsia="Arial" w:hAnsi="Arial"/>
          <w:sz w:val="22"/>
          <w:szCs w:val="22"/>
        </w:rPr>
        <w:t xml:space="preserve">Access — obtain a summary of personal data we hold about you</w:t>
      </w:r>
    </w:p>
    <w:p>
      <w:pPr>
        <w:pStyle w:val="ListParagraph"/>
        <w:numPr>
          <w:ilvl w:val="0"/>
          <w:numId w:val="2"/>
        </w:numPr>
        <w:spacing w:after="60" w:before="60"/>
      </w:pPr>
      <w:r>
        <w:rPr>
          <w:rFonts w:ascii="Arial" w:cs="Arial" w:eastAsia="Arial" w:hAnsi="Arial"/>
          <w:sz w:val="22"/>
          <w:szCs w:val="22"/>
        </w:rPr>
        <w:t xml:space="preserve">Correction — request correction of inaccurate or incomplete data</w:t>
      </w:r>
    </w:p>
    <w:p>
      <w:pPr>
        <w:pStyle w:val="ListParagraph"/>
        <w:numPr>
          <w:ilvl w:val="0"/>
          <w:numId w:val="2"/>
        </w:numPr>
        <w:spacing w:after="60" w:before="60"/>
      </w:pPr>
      <w:r>
        <w:rPr>
          <w:rFonts w:ascii="Arial" w:cs="Arial" w:eastAsia="Arial" w:hAnsi="Arial"/>
          <w:sz w:val="22"/>
          <w:szCs w:val="22"/>
        </w:rPr>
        <w:t xml:space="preserve">Erasure — request deletion of your personal data (subject to legal retention requirements)</w:t>
      </w:r>
    </w:p>
    <w:p>
      <w:pPr>
        <w:pStyle w:val="ListParagraph"/>
        <w:numPr>
          <w:ilvl w:val="0"/>
          <w:numId w:val="2"/>
        </w:numPr>
        <w:spacing w:after="60" w:before="60"/>
      </w:pPr>
      <w:r>
        <w:rPr>
          <w:rFonts w:ascii="Arial" w:cs="Arial" w:eastAsia="Arial" w:hAnsi="Arial"/>
          <w:sz w:val="22"/>
          <w:szCs w:val="22"/>
        </w:rPr>
        <w:t xml:space="preserve">Withdraw Consent — at any time, where processing is based on consent</w:t>
      </w:r>
    </w:p>
    <w:p>
      <w:pPr>
        <w:pStyle w:val="ListParagraph"/>
        <w:numPr>
          <w:ilvl w:val="0"/>
          <w:numId w:val="2"/>
        </w:numPr>
        <w:spacing w:after="60" w:before="60"/>
      </w:pPr>
      <w:r>
        <w:rPr>
          <w:rFonts w:ascii="Arial" w:cs="Arial" w:eastAsia="Arial" w:hAnsi="Arial"/>
          <w:sz w:val="22"/>
          <w:szCs w:val="22"/>
        </w:rPr>
        <w:t xml:space="preserve">Grievance Redressal — raise complaints with our Data Protection Officer</w:t>
      </w:r>
    </w:p>
    <w:p>
      <w:pPr>
        <w:pStyle w:val="ListParagraph"/>
        <w:numPr>
          <w:ilvl w:val="0"/>
          <w:numId w:val="2"/>
        </w:numPr>
        <w:spacing w:after="60" w:before="60"/>
      </w:pPr>
      <w:r>
        <w:rPr>
          <w:rFonts w:ascii="Arial" w:cs="Arial" w:eastAsia="Arial" w:hAnsi="Arial"/>
          <w:sz w:val="22"/>
          <w:szCs w:val="22"/>
        </w:rPr>
        <w:t xml:space="preserve">Nominate — nominate another person to exercise rights on your behalf in case of death or incapacity</w:t>
      </w:r>
    </w:p>
    <w:p>
      <w:pPr>
        <w:spacing w:after="80" w:before="80"/>
      </w:pPr>
      <w:r>
        <w:rPr>
          <w:rFonts w:ascii="Arial" w:cs="Arial" w:eastAsia="Arial" w:hAnsi="Arial"/>
          <w:sz w:val="22"/>
          <w:szCs w:val="22"/>
        </w:rPr>
        <w:t xml:space="preserve">To exercise these rights, email privacy@vyana.com. We will respond within 30 days.</w:t>
      </w:r>
    </w:p>
    <w:p>
      <w:pPr>
        <w:pBdr>
          <w:bottom w:val="single" w:color="2D6A4F" w:sz="3" w:space="1"/>
        </w:pBdr>
        <w:spacing w:after="100" w:before="300"/>
      </w:pPr>
      <w:r>
        <w:rPr>
          <w:rFonts w:ascii="Arial" w:cs="Arial" w:eastAsia="Arial" w:hAnsi="Arial"/>
          <w:b/>
          <w:bCs/>
          <w:color w:val="2D6A4F"/>
          <w:sz w:val="26"/>
          <w:szCs w:val="26"/>
        </w:rPr>
        <w:t xml:space="preserve">8. DATA SECURITY</w:t>
      </w:r>
    </w:p>
    <w:p>
      <w:pPr>
        <w:spacing w:after="80" w:before="80"/>
      </w:pPr>
      <w:r>
        <w:rPr>
          <w:rFonts w:ascii="Arial" w:cs="Arial" w:eastAsia="Arial" w:hAnsi="Arial"/>
          <w:sz w:val="22"/>
          <w:szCs w:val="22"/>
        </w:rPr>
        <w:t xml:space="preserve">We implement industry-standard security measures to protect your personal data, including:</w:t>
      </w:r>
    </w:p>
    <w:p>
      <w:pPr>
        <w:pStyle w:val="ListParagraph"/>
        <w:numPr>
          <w:ilvl w:val="0"/>
          <w:numId w:val="2"/>
        </w:numPr>
        <w:spacing w:after="60" w:before="60"/>
      </w:pPr>
      <w:r>
        <w:rPr>
          <w:rFonts w:ascii="Arial" w:cs="Arial" w:eastAsia="Arial" w:hAnsi="Arial"/>
          <w:sz w:val="22"/>
          <w:szCs w:val="22"/>
        </w:rPr>
        <w:t xml:space="preserve">SSL/TLS encryption for all data in transit</w:t>
      </w:r>
    </w:p>
    <w:p>
      <w:pPr>
        <w:pStyle w:val="ListParagraph"/>
        <w:numPr>
          <w:ilvl w:val="0"/>
          <w:numId w:val="2"/>
        </w:numPr>
        <w:spacing w:after="60" w:before="60"/>
      </w:pPr>
      <w:r>
        <w:rPr>
          <w:rFonts w:ascii="Arial" w:cs="Arial" w:eastAsia="Arial" w:hAnsi="Arial"/>
          <w:sz w:val="22"/>
          <w:szCs w:val="22"/>
        </w:rPr>
        <w:t xml:space="preserve">Encrypted storage of sensitive data at rest</w:t>
      </w:r>
    </w:p>
    <w:p>
      <w:pPr>
        <w:pStyle w:val="ListParagraph"/>
        <w:numPr>
          <w:ilvl w:val="0"/>
          <w:numId w:val="2"/>
        </w:numPr>
        <w:spacing w:after="60" w:before="60"/>
      </w:pPr>
      <w:r>
        <w:rPr>
          <w:rFonts w:ascii="Arial" w:cs="Arial" w:eastAsia="Arial" w:hAnsi="Arial"/>
          <w:sz w:val="22"/>
          <w:szCs w:val="22"/>
        </w:rPr>
        <w:t xml:space="preserve">Access controls limiting employee access to personal data</w:t>
      </w:r>
    </w:p>
    <w:p>
      <w:pPr>
        <w:pStyle w:val="ListParagraph"/>
        <w:numPr>
          <w:ilvl w:val="0"/>
          <w:numId w:val="2"/>
        </w:numPr>
        <w:spacing w:after="60" w:before="60"/>
      </w:pPr>
      <w:r>
        <w:rPr>
          <w:rFonts w:ascii="Arial" w:cs="Arial" w:eastAsia="Arial" w:hAnsi="Arial"/>
          <w:sz w:val="22"/>
          <w:szCs w:val="22"/>
        </w:rPr>
        <w:t xml:space="preserve">Regular security audits and vulnerability assessments</w:t>
      </w:r>
    </w:p>
    <w:p>
      <w:pPr>
        <w:pStyle w:val="ListParagraph"/>
        <w:numPr>
          <w:ilvl w:val="0"/>
          <w:numId w:val="2"/>
        </w:numPr>
        <w:spacing w:after="60" w:before="60"/>
      </w:pPr>
      <w:r>
        <w:rPr>
          <w:rFonts w:ascii="Arial" w:cs="Arial" w:eastAsia="Arial" w:hAnsi="Arial"/>
          <w:sz w:val="22"/>
          <w:szCs w:val="22"/>
        </w:rPr>
        <w:t xml:space="preserve">PCI-DSS compliant payment processing via Razorpay/Stripe</w:t>
      </w:r>
    </w:p>
    <w:p>
      <w:pPr>
        <w:spacing w:after="80" w:before="80"/>
      </w:pPr>
      <w:r>
        <w:rPr>
          <w:rFonts w:ascii="Arial" w:cs="Arial" w:eastAsia="Arial" w:hAnsi="Arial"/>
          <w:sz w:val="22"/>
          <w:szCs w:val="22"/>
        </w:rPr>
        <w:t xml:space="preserve">However, no method of internet transmission or electronic storage is 100% secure. While we strive to use commercially acceptable means to protect your data, we cannot guarantee absolute security.</w:t>
      </w:r>
    </w:p>
    <w:p>
      <w:pPr>
        <w:pBdr>
          <w:bottom w:val="single" w:color="2D6A4F" w:sz="3" w:space="1"/>
        </w:pBdr>
        <w:spacing w:after="100" w:before="300"/>
      </w:pPr>
      <w:r>
        <w:rPr>
          <w:rFonts w:ascii="Arial" w:cs="Arial" w:eastAsia="Arial" w:hAnsi="Arial"/>
          <w:b/>
          <w:bCs/>
          <w:color w:val="2D6A4F"/>
          <w:sz w:val="26"/>
          <w:szCs w:val="26"/>
        </w:rPr>
        <w:t xml:space="preserve">9. COOKIES</w:t>
      </w:r>
    </w:p>
    <w:p>
      <w:pPr>
        <w:spacing w:after="80" w:before="80"/>
      </w:pPr>
      <w:r>
        <w:rPr>
          <w:rFonts w:ascii="Arial" w:cs="Arial" w:eastAsia="Arial" w:hAnsi="Arial"/>
          <w:sz w:val="22"/>
          <w:szCs w:val="22"/>
        </w:rPr>
        <w:t xml:space="preserve">We use cookies and similar tracking technologies. Please refer to our Cookie Policy for full details on what cookies we use and how to control them.</w:t>
      </w:r>
    </w:p>
    <w:p>
      <w:pPr>
        <w:pBdr>
          <w:bottom w:val="single" w:color="2D6A4F" w:sz="3" w:space="1"/>
        </w:pBdr>
        <w:spacing w:after="100" w:before="300"/>
      </w:pPr>
      <w:r>
        <w:rPr>
          <w:rFonts w:ascii="Arial" w:cs="Arial" w:eastAsia="Arial" w:hAnsi="Arial"/>
          <w:b/>
          <w:bCs/>
          <w:color w:val="2D6A4F"/>
          <w:sz w:val="26"/>
          <w:szCs w:val="26"/>
        </w:rPr>
        <w:t xml:space="preserve">10. CHILDREN'S PRIVACY</w:t>
      </w:r>
    </w:p>
    <w:p>
      <w:pPr>
        <w:spacing w:after="80" w:before="80"/>
      </w:pPr>
      <w:r>
        <w:rPr>
          <w:rFonts w:ascii="Arial" w:cs="Arial" w:eastAsia="Arial" w:hAnsi="Arial"/>
          <w:sz w:val="22"/>
          <w:szCs w:val="22"/>
        </w:rPr>
        <w:t xml:space="preserve">The Platform is not directed at individuals under 18 years of age. We do not knowingly collect personal data from children under 18. If you become aware that a child has provided us with personal data, please contact us at privacy@vyana.com and we will take steps to delete such information.</w:t>
      </w:r>
    </w:p>
    <w:p>
      <w:pPr>
        <w:pBdr>
          <w:bottom w:val="single" w:color="2D6A4F" w:sz="3" w:space="1"/>
        </w:pBdr>
        <w:spacing w:after="100" w:before="300"/>
      </w:pPr>
      <w:r>
        <w:rPr>
          <w:rFonts w:ascii="Arial" w:cs="Arial" w:eastAsia="Arial" w:hAnsi="Arial"/>
          <w:b/>
          <w:bCs/>
          <w:color w:val="2D6A4F"/>
          <w:sz w:val="26"/>
          <w:szCs w:val="26"/>
        </w:rPr>
        <w:t xml:space="preserve">11. CROSS-BORDER DATA TRANSFERS</w:t>
      </w:r>
    </w:p>
    <w:p>
      <w:pPr>
        <w:spacing w:after="80" w:before="80"/>
      </w:pPr>
      <w:r>
        <w:rPr>
          <w:rFonts w:ascii="Arial" w:cs="Arial" w:eastAsia="Arial" w:hAnsi="Arial"/>
          <w:sz w:val="22"/>
          <w:szCs w:val="22"/>
        </w:rPr>
        <w:t xml:space="preserve">Your data may be processed in countries outside India (e.g., if we use cloud services hosted internationally). Where such transfers occur, we ensure appropriate safeguards are in place in accordance with the DPDP Act 2023 and applicable rules.</w:t>
      </w:r>
    </w:p>
    <w:p>
      <w:pPr>
        <w:pBdr>
          <w:bottom w:val="single" w:color="2D6A4F" w:sz="3" w:space="1"/>
        </w:pBdr>
        <w:spacing w:after="100" w:before="300"/>
      </w:pPr>
      <w:r>
        <w:rPr>
          <w:rFonts w:ascii="Arial" w:cs="Arial" w:eastAsia="Arial" w:hAnsi="Arial"/>
          <w:b/>
          <w:bCs/>
          <w:color w:val="2D6A4F"/>
          <w:sz w:val="26"/>
          <w:szCs w:val="26"/>
        </w:rPr>
        <w:t xml:space="preserve">12. CHANGES TO THIS POLICY</w:t>
      </w:r>
    </w:p>
    <w:p>
      <w:pPr>
        <w:spacing w:after="80" w:before="80"/>
      </w:pPr>
      <w:r>
        <w:rPr>
          <w:rFonts w:ascii="Arial" w:cs="Arial" w:eastAsia="Arial" w:hAnsi="Arial"/>
          <w:sz w:val="22"/>
          <w:szCs w:val="22"/>
        </w:rPr>
        <w:t xml:space="preserve">We may update this Privacy Policy from time to time. We will notify you of significant changes via email or a prominent notice on the Platform. The "Last Updated" date at the top of this page indicates when it was last revised. Continued use of the Platform after changes constitutes acceptance of the updated Policy.</w:t>
      </w:r>
    </w:p>
    <w:p>
      <w:pPr>
        <w:pBdr>
          <w:bottom w:val="single" w:color="2D6A4F" w:sz="3" w:space="1"/>
        </w:pBdr>
        <w:spacing w:after="100" w:before="300"/>
      </w:pPr>
      <w:r>
        <w:rPr>
          <w:rFonts w:ascii="Arial" w:cs="Arial" w:eastAsia="Arial" w:hAnsi="Arial"/>
          <w:b/>
          <w:bCs/>
          <w:color w:val="2D6A4F"/>
          <w:sz w:val="26"/>
          <w:szCs w:val="26"/>
        </w:rPr>
        <w:t xml:space="preserve">13. CONTACT &amp; GRIEVANCE OFFICER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000"/>
        <w:gridCol w:w="6360"/>
      </w:tblGrid>
      <w:tr>
        <w:tc>
          <w:tcPr>
            <w:tcW w:type="dxa" w:w="3000"/>
            <w:tcBorders>
              <w:top w:val="single" w:color="CCCCCC" w:sz="1"/>
              <w:left w:val="single" w:color="CCCCCC" w:sz="1"/>
              <w:bottom w:val="single" w:color="CCCCCC" w:sz="1"/>
              <w:right w:val="single" w:color="CCCCCC" w:sz="1"/>
            </w:tcBorders>
            <w:shd w:fill="EAF4EF" w:val="clear"/>
            <w:tcMar>
              <w:top w:type="dxa" w:w="80"/>
              <w:left w:type="dxa" w:w="120"/>
              <w:bottom w:type="dxa" w:w="80"/>
              <w:right w:type="dxa" w:w="120"/>
            </w:tcMar>
          </w:tcPr>
          <w:p>
            <w:r>
              <w:rPr>
                <w:rFonts w:ascii="Arial" w:cs="Arial" w:eastAsia="Arial" w:hAnsi="Arial"/>
                <w:b/>
                <w:bCs/>
                <w:sz w:val="22"/>
                <w:szCs w:val="22"/>
              </w:rPr>
              <w:t xml:space="preserve">Data Protection / Grievance Officer</w:t>
            </w:r>
          </w:p>
        </w:tc>
        <w:tc>
          <w:tcPr>
            <w:tcW w:type="dxa" w:w="63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2"/>
                <w:szCs w:val="22"/>
              </w:rPr>
              <w:t xml:space="preserve">[Full Name]</w:t>
            </w:r>
          </w:p>
        </w:tc>
      </w:tr>
      <w:tr>
        <w:tc>
          <w:tcPr>
            <w:tcW w:type="dxa" w:w="3000"/>
            <w:tcBorders>
              <w:top w:val="single" w:color="CCCCCC" w:sz="1"/>
              <w:left w:val="single" w:color="CCCCCC" w:sz="1"/>
              <w:bottom w:val="single" w:color="CCCCCC" w:sz="1"/>
              <w:right w:val="single" w:color="CCCCCC" w:sz="1"/>
            </w:tcBorders>
            <w:shd w:fill="EAF4EF" w:val="clear"/>
            <w:tcMar>
              <w:top w:type="dxa" w:w="80"/>
              <w:left w:type="dxa" w:w="120"/>
              <w:bottom w:type="dxa" w:w="80"/>
              <w:right w:type="dxa" w:w="120"/>
            </w:tcMar>
          </w:tcPr>
          <w:p>
            <w:r>
              <w:rPr>
                <w:rFonts w:ascii="Arial" w:cs="Arial" w:eastAsia="Arial" w:hAnsi="Arial"/>
                <w:b/>
                <w:bCs/>
                <w:sz w:val="22"/>
                <w:szCs w:val="22"/>
              </w:rPr>
              <w:t xml:space="preserve">Email</w:t>
            </w:r>
          </w:p>
        </w:tc>
        <w:tc>
          <w:tcPr>
            <w:tcW w:type="dxa" w:w="63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2"/>
                <w:szCs w:val="22"/>
              </w:rPr>
              <w:t xml:space="preserve">privacy@vyana.com</w:t>
            </w:r>
          </w:p>
        </w:tc>
      </w:tr>
      <w:tr>
        <w:tc>
          <w:tcPr>
            <w:tcW w:type="dxa" w:w="3000"/>
            <w:tcBorders>
              <w:top w:val="single" w:color="CCCCCC" w:sz="1"/>
              <w:left w:val="single" w:color="CCCCCC" w:sz="1"/>
              <w:bottom w:val="single" w:color="CCCCCC" w:sz="1"/>
              <w:right w:val="single" w:color="CCCCCC" w:sz="1"/>
            </w:tcBorders>
            <w:shd w:fill="EAF4EF" w:val="clear"/>
            <w:tcMar>
              <w:top w:type="dxa" w:w="80"/>
              <w:left w:type="dxa" w:w="120"/>
              <w:bottom w:type="dxa" w:w="80"/>
              <w:right w:type="dxa" w:w="120"/>
            </w:tcMar>
          </w:tcPr>
          <w:p>
            <w:r>
              <w:rPr>
                <w:rFonts w:ascii="Arial" w:cs="Arial" w:eastAsia="Arial" w:hAnsi="Arial"/>
                <w:b/>
                <w:bCs/>
                <w:sz w:val="22"/>
                <w:szCs w:val="22"/>
              </w:rPr>
              <w:t xml:space="preserve">Address</w:t>
            </w:r>
          </w:p>
        </w:tc>
        <w:tc>
          <w:tcPr>
            <w:tcW w:type="dxa" w:w="63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2"/>
                <w:szCs w:val="22"/>
              </w:rPr>
              <w:t xml:space="preserve">[Registered Office Address, India]</w:t>
            </w:r>
          </w:p>
        </w:tc>
      </w:tr>
      <w:tr>
        <w:tc>
          <w:tcPr>
            <w:tcW w:type="dxa" w:w="3000"/>
            <w:tcBorders>
              <w:top w:val="single" w:color="CCCCCC" w:sz="1"/>
              <w:left w:val="single" w:color="CCCCCC" w:sz="1"/>
              <w:bottom w:val="single" w:color="CCCCCC" w:sz="1"/>
              <w:right w:val="single" w:color="CCCCCC" w:sz="1"/>
            </w:tcBorders>
            <w:shd w:fill="EAF4EF" w:val="clear"/>
            <w:tcMar>
              <w:top w:type="dxa" w:w="80"/>
              <w:left w:type="dxa" w:w="120"/>
              <w:bottom w:type="dxa" w:w="80"/>
              <w:right w:type="dxa" w:w="120"/>
            </w:tcMar>
          </w:tcPr>
          <w:p>
            <w:r>
              <w:rPr>
                <w:rFonts w:ascii="Arial" w:cs="Arial" w:eastAsia="Arial" w:hAnsi="Arial"/>
                <w:b/>
                <w:bCs/>
                <w:sz w:val="22"/>
                <w:szCs w:val="22"/>
              </w:rPr>
              <w:t xml:space="preserve">Response Time</w:t>
            </w:r>
          </w:p>
        </w:tc>
        <w:tc>
          <w:tcPr>
            <w:tcW w:type="dxa" w:w="63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2"/>
                <w:szCs w:val="22"/>
              </w:rPr>
              <w:t xml:space="preserve">Within 30 days</w:t>
            </w:r>
          </w:p>
        </w:tc>
      </w:tr>
    </w:tbl>
    <w:p>
      <w:pPr>
        <w:spacing w:after="80" w:before="80"/>
      </w:pPr>
      <w:r>
        <w:rPr>
          <w:rFonts w:ascii="Arial" w:cs="Arial" w:eastAsia="Arial" w:hAnsi="Arial"/>
          <w:sz w:val="22"/>
          <w:szCs w:val="22"/>
        </w:rPr>
        <w:t xml:space="preserve">You also have the right to lodge a complaint with the Data Protection Board of India once established under the DPDP Act, 2023.</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9713bc23d12e2f6da0d5af80a7597551e849b543.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2026-06-27T09:19:03.982Z</dcterms:created>
  <dcterms:modified xsi:type="dcterms:W3CDTF">2026-06-27T09:19:03.982Z</dcterms:modified>
</cp:coreProperties>
</file>

<file path=docProps/custom.xml><?xml version="1.0" encoding="utf-8"?>
<Properties xmlns="http://schemas.openxmlformats.org/officeDocument/2006/custom-properties" xmlns:vt="http://schemas.openxmlformats.org/officeDocument/2006/docPropsVTypes"/>
</file>